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651" w:rsidRDefault="008F3651">
      <w:pPr>
        <w:autoSpaceDE w:val="0"/>
        <w:autoSpaceDN w:val="0"/>
        <w:adjustRightInd w:val="0"/>
        <w:spacing w:after="0" w:line="1" w:lineRule="exact"/>
        <w:rPr>
          <w:rFonts w:ascii="Times New Roman" w:hAnsi="Times New Roman"/>
          <w:sz w:val="24"/>
          <w:szCs w:val="24"/>
        </w:rPr>
      </w:pPr>
      <w:bookmarkStart w:id="0" w:name="BKMK_1"/>
      <w:bookmarkStart w:id="1" w:name="BKMK_2"/>
      <w:bookmarkStart w:id="2" w:name="BKMK_3"/>
      <w:bookmarkStart w:id="3" w:name="BKMK_4"/>
      <w:bookmarkEnd w:id="0"/>
      <w:bookmarkEnd w:id="1"/>
      <w:bookmarkEnd w:id="2"/>
      <w:bookmarkEnd w:id="3"/>
    </w:p>
    <w:p w:rsidR="008F3651" w:rsidRDefault="008F3651">
      <w:pPr>
        <w:autoSpaceDE w:val="0"/>
        <w:autoSpaceDN w:val="0"/>
        <w:adjustRightInd w:val="0"/>
        <w:spacing w:after="0" w:line="540" w:lineRule="exact"/>
        <w:rPr>
          <w:rFonts w:ascii="Times New Roman" w:hAnsi="Times New Roman"/>
          <w:sz w:val="24"/>
          <w:szCs w:val="24"/>
        </w:rPr>
      </w:pPr>
    </w:p>
    <w:tbl>
      <w:tblPr>
        <w:tblW w:w="0" w:type="auto"/>
        <w:tblInd w:w="941" w:type="dxa"/>
        <w:tblLayout w:type="fixed"/>
        <w:tblCellMar>
          <w:left w:w="0" w:type="dxa"/>
          <w:right w:w="0" w:type="dxa"/>
        </w:tblCellMar>
        <w:tblLook w:val="0000" w:firstRow="0" w:lastRow="0" w:firstColumn="0" w:lastColumn="0" w:noHBand="0" w:noVBand="0"/>
      </w:tblPr>
      <w:tblGrid>
        <w:gridCol w:w="9637"/>
      </w:tblGrid>
      <w:tr w:rsidR="008F3651">
        <w:trPr>
          <w:hidden/>
        </w:trPr>
        <w:tc>
          <w:tcPr>
            <w:tcW w:w="9637" w:type="dxa"/>
            <w:tcBorders>
              <w:top w:val="nil"/>
              <w:left w:val="nil"/>
              <w:bottom w:val="nil"/>
              <w:right w:val="nil"/>
            </w:tcBorders>
            <w:vAlign w:val="bottom"/>
          </w:tcPr>
          <w:p w:rsidR="008F3651" w:rsidRDefault="008F3651">
            <w:pPr>
              <w:autoSpaceDE w:val="0"/>
              <w:autoSpaceDN w:val="0"/>
              <w:adjustRightInd w:val="0"/>
              <w:spacing w:after="0" w:line="240" w:lineRule="auto"/>
              <w:ind w:left="54"/>
              <w:rPr>
                <w:rFonts w:ascii="Times New Roman" w:hAnsi="Times New Roman"/>
                <w:sz w:val="24"/>
                <w:szCs w:val="24"/>
              </w:rPr>
            </w:pPr>
            <w:r>
              <w:rPr>
                <w:rFonts w:ascii="Times New Roman" w:hAnsi="Times New Roman"/>
                <w:vanish/>
                <w:sz w:val="2"/>
                <w:szCs w:val="2"/>
              </w:rPr>
              <w:t>​</w:t>
            </w:r>
          </w:p>
        </w:tc>
      </w:tr>
      <w:tr w:rsidR="008F3651" w:rsidTr="00792C9F">
        <w:trPr>
          <w:hidden/>
        </w:trPr>
        <w:tc>
          <w:tcPr>
            <w:tcW w:w="9637" w:type="dxa"/>
            <w:tcBorders>
              <w:top w:val="single" w:sz="14" w:space="0" w:color="000000"/>
              <w:left w:val="nil"/>
              <w:bottom w:val="single" w:sz="6" w:space="0" w:color="000000"/>
              <w:right w:val="nil"/>
            </w:tcBorders>
            <w:vAlign w:val="bottom"/>
          </w:tcPr>
          <w:p w:rsidR="008F3651" w:rsidRDefault="008F3651">
            <w:pPr>
              <w:autoSpaceDE w:val="0"/>
              <w:autoSpaceDN w:val="0"/>
              <w:adjustRightInd w:val="0"/>
              <w:spacing w:after="0" w:line="240" w:lineRule="auto"/>
              <w:ind w:left="54"/>
              <w:rPr>
                <w:rFonts w:ascii="Times New Roman" w:hAnsi="Times New Roman"/>
                <w:sz w:val="24"/>
                <w:szCs w:val="24"/>
              </w:rPr>
            </w:pPr>
            <w:bookmarkStart w:id="4" w:name="BKMK_5"/>
            <w:bookmarkEnd w:id="4"/>
            <w:r>
              <w:rPr>
                <w:rFonts w:ascii="Times New Roman" w:hAnsi="Times New Roman"/>
                <w:vanish/>
                <w:sz w:val="18"/>
                <w:szCs w:val="18"/>
              </w:rPr>
              <w:t>​</w:t>
            </w:r>
          </w:p>
        </w:tc>
      </w:tr>
    </w:tbl>
    <w:p w:rsidR="008F3651" w:rsidRDefault="008F3651">
      <w:pPr>
        <w:autoSpaceDE w:val="0"/>
        <w:autoSpaceDN w:val="0"/>
        <w:adjustRightInd w:val="0"/>
        <w:spacing w:after="0" w:line="240" w:lineRule="auto"/>
        <w:ind w:left="941" w:right="941"/>
        <w:rPr>
          <w:rFonts w:ascii="Times New Roman" w:hAnsi="Times New Roman"/>
          <w:sz w:val="24"/>
          <w:szCs w:val="24"/>
        </w:rPr>
      </w:pPr>
      <w:r>
        <w:rPr>
          <w:rFonts w:ascii="Times New Roman" w:hAnsi="Times New Roman"/>
          <w:vanish/>
          <w:sz w:val="18"/>
          <w:szCs w:val="18"/>
        </w:rPr>
        <w:t>​</w:t>
      </w:r>
    </w:p>
    <w:p w:rsidR="008F3651" w:rsidRDefault="008F3651">
      <w:pPr>
        <w:autoSpaceDE w:val="0"/>
        <w:autoSpaceDN w:val="0"/>
        <w:adjustRightInd w:val="0"/>
        <w:spacing w:before="72" w:after="0" w:line="240" w:lineRule="auto"/>
        <w:ind w:left="941" w:right="941"/>
        <w:jc w:val="center"/>
        <w:rPr>
          <w:rFonts w:ascii="Times New Roman" w:hAnsi="Times New Roman"/>
          <w:sz w:val="24"/>
          <w:szCs w:val="24"/>
        </w:rPr>
      </w:pPr>
      <w:r>
        <w:rPr>
          <w:rFonts w:ascii="Times New Roman" w:hAnsi="Times New Roman"/>
          <w:b/>
          <w:bCs/>
          <w:sz w:val="25"/>
          <w:szCs w:val="25"/>
        </w:rPr>
        <w:t>UNITED STATES</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b/>
          <w:bCs/>
          <w:sz w:val="25"/>
          <w:szCs w:val="25"/>
        </w:rPr>
        <w:t>SECURITIES AND EXCHANGE COMMISSION</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b/>
          <w:bCs/>
        </w:rPr>
        <w:t>Washington, D.C. 20549</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sz w:val="14"/>
          <w:szCs w:val="14"/>
        </w:rPr>
        <w:t>________________________________________________</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b/>
          <w:bCs/>
          <w:sz w:val="32"/>
          <w:szCs w:val="32"/>
        </w:rPr>
        <w:t>FORM SD</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sz w:val="14"/>
          <w:szCs w:val="14"/>
        </w:rPr>
        <w:t>________________________________________________</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vanish/>
          <w:sz w:val="14"/>
          <w:szCs w:val="14"/>
        </w:rPr>
        <w:t>​</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vanish/>
          <w:sz w:val="14"/>
          <w:szCs w:val="14"/>
        </w:rPr>
        <w:t>​</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b/>
          <w:bCs/>
          <w:sz w:val="25"/>
          <w:szCs w:val="25"/>
        </w:rPr>
        <w:t>SPECIALIZED DISCLOSURE REPORT</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vanish/>
          <w:sz w:val="14"/>
          <w:szCs w:val="14"/>
        </w:rPr>
        <w:t>​</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sz w:val="14"/>
          <w:szCs w:val="14"/>
        </w:rPr>
        <w:t>________________________________________________</w:t>
      </w:r>
    </w:p>
    <w:p w:rsidR="008F3651" w:rsidRDefault="0005404E">
      <w:pPr>
        <w:autoSpaceDE w:val="0"/>
        <w:autoSpaceDN w:val="0"/>
        <w:adjustRightInd w:val="0"/>
        <w:spacing w:before="54" w:after="0" w:line="240" w:lineRule="auto"/>
        <w:ind w:left="941" w:right="941"/>
        <w:jc w:val="center"/>
        <w:rPr>
          <w:rFonts w:ascii="Times New Roman" w:hAnsi="Times New Roman"/>
          <w:sz w:val="24"/>
          <w:szCs w:val="24"/>
        </w:rPr>
      </w:pPr>
      <w:r>
        <w:rPr>
          <w:rFonts w:ascii="Times New Roman" w:hAnsi="Times New Roman"/>
          <w:b/>
          <w:bCs/>
          <w:noProof/>
          <w:sz w:val="43"/>
          <w:szCs w:val="43"/>
        </w:rPr>
        <w:drawing>
          <wp:inline distT="0" distB="0" distL="0" distR="0" wp14:anchorId="73DD3D5F" wp14:editId="0988535C">
            <wp:extent cx="156210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581025"/>
                    </a:xfrm>
                    <a:prstGeom prst="rect">
                      <a:avLst/>
                    </a:prstGeom>
                    <a:noFill/>
                    <a:ln>
                      <a:noFill/>
                    </a:ln>
                  </pic:spPr>
                </pic:pic>
              </a:graphicData>
            </a:graphic>
          </wp:inline>
        </w:drawing>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b/>
          <w:bCs/>
          <w:sz w:val="43"/>
          <w:szCs w:val="43"/>
        </w:rPr>
        <w:t>Advanced Energy Industries, Inc.</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sz w:val="18"/>
          <w:szCs w:val="18"/>
        </w:rPr>
        <w:t xml:space="preserve">(Exact name of </w:t>
      </w:r>
      <w:r w:rsidR="00792C9F">
        <w:rPr>
          <w:rFonts w:ascii="Times New Roman" w:hAnsi="Times New Roman"/>
          <w:sz w:val="18"/>
          <w:szCs w:val="18"/>
        </w:rPr>
        <w:t xml:space="preserve">the </w:t>
      </w:r>
      <w:r>
        <w:rPr>
          <w:rFonts w:ascii="Times New Roman" w:hAnsi="Times New Roman"/>
          <w:sz w:val="18"/>
          <w:szCs w:val="18"/>
        </w:rPr>
        <w:t>registrant as specified in its charter)</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vanish/>
          <w:sz w:val="14"/>
          <w:szCs w:val="14"/>
        </w:rPr>
        <w:t>​</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sz w:val="14"/>
          <w:szCs w:val="14"/>
        </w:rPr>
        <w:t>________________________________________________</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vanish/>
          <w:sz w:val="18"/>
          <w:szCs w:val="18"/>
        </w:rPr>
        <w:t>​</w:t>
      </w:r>
    </w:p>
    <w:p w:rsidR="008F3651" w:rsidRDefault="008F3651">
      <w:pPr>
        <w:autoSpaceDE w:val="0"/>
        <w:autoSpaceDN w:val="0"/>
        <w:adjustRightInd w:val="0"/>
        <w:spacing w:after="0" w:line="126" w:lineRule="exact"/>
        <w:rPr>
          <w:rFonts w:ascii="Times New Roman" w:hAnsi="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4038"/>
        <w:gridCol w:w="4038"/>
      </w:tblGrid>
      <w:tr w:rsidR="00EE2917" w:rsidTr="00EA4654">
        <w:trPr>
          <w:trHeight w:hRule="exact" w:val="20"/>
          <w:jc w:val="center"/>
        </w:trPr>
        <w:tc>
          <w:tcPr>
            <w:tcW w:w="4038" w:type="dxa"/>
            <w:tcBorders>
              <w:top w:val="nil"/>
              <w:left w:val="nil"/>
              <w:bottom w:val="nil"/>
              <w:right w:val="nil"/>
            </w:tcBorders>
          </w:tcPr>
          <w:p w:rsidR="00EE2917" w:rsidRDefault="00EE2917">
            <w:pPr>
              <w:keepNext/>
              <w:rPr>
                <w:sz w:val="2"/>
              </w:rPr>
            </w:pPr>
          </w:p>
        </w:tc>
        <w:tc>
          <w:tcPr>
            <w:tcW w:w="4038" w:type="dxa"/>
            <w:tcBorders>
              <w:top w:val="nil"/>
              <w:left w:val="nil"/>
              <w:bottom w:val="nil"/>
              <w:right w:val="nil"/>
            </w:tcBorders>
            <w:vAlign w:val="bottom"/>
          </w:tcPr>
          <w:p w:rsidR="00EE2917" w:rsidRDefault="00EE2917">
            <w:pPr>
              <w:keepNext/>
              <w:rPr>
                <w:sz w:val="2"/>
              </w:rPr>
            </w:pPr>
          </w:p>
        </w:tc>
      </w:tr>
      <w:tr w:rsidR="00EE2917" w:rsidTr="00EA4654">
        <w:trPr>
          <w:jc w:val="center"/>
          <w:hidden/>
        </w:trPr>
        <w:tc>
          <w:tcPr>
            <w:tcW w:w="4038" w:type="dxa"/>
            <w:tcBorders>
              <w:top w:val="nil"/>
              <w:left w:val="nil"/>
              <w:bottom w:val="nil"/>
              <w:right w:val="nil"/>
            </w:tcBorders>
          </w:tcPr>
          <w:p w:rsidR="00EE2917" w:rsidRDefault="00EE2917" w:rsidP="00A9247C">
            <w:pPr>
              <w:autoSpaceDE w:val="0"/>
              <w:autoSpaceDN w:val="0"/>
              <w:adjustRightInd w:val="0"/>
              <w:spacing w:after="0" w:line="240" w:lineRule="auto"/>
              <w:ind w:left="54"/>
              <w:rPr>
                <w:rFonts w:ascii="Times New Roman" w:hAnsi="Times New Roman"/>
                <w:sz w:val="24"/>
                <w:szCs w:val="24"/>
              </w:rPr>
            </w:pPr>
            <w:r>
              <w:rPr>
                <w:rFonts w:ascii="Times New Roman" w:hAnsi="Times New Roman"/>
                <w:vanish/>
                <w:sz w:val="2"/>
                <w:szCs w:val="2"/>
              </w:rPr>
              <w:t>​</w:t>
            </w:r>
          </w:p>
        </w:tc>
        <w:tc>
          <w:tcPr>
            <w:tcW w:w="4038" w:type="dxa"/>
            <w:tcBorders>
              <w:top w:val="nil"/>
              <w:left w:val="nil"/>
              <w:bottom w:val="nil"/>
              <w:right w:val="nil"/>
            </w:tcBorders>
            <w:vAlign w:val="bottom"/>
          </w:tcPr>
          <w:p w:rsidR="00EE2917" w:rsidRDefault="00EE2917" w:rsidP="00A9247C">
            <w:pPr>
              <w:autoSpaceDE w:val="0"/>
              <w:autoSpaceDN w:val="0"/>
              <w:adjustRightInd w:val="0"/>
              <w:spacing w:after="0" w:line="240" w:lineRule="auto"/>
              <w:ind w:left="54"/>
              <w:rPr>
                <w:rFonts w:ascii="Times New Roman" w:hAnsi="Times New Roman"/>
                <w:sz w:val="24"/>
                <w:szCs w:val="24"/>
              </w:rPr>
            </w:pPr>
            <w:r>
              <w:rPr>
                <w:rFonts w:ascii="Times New Roman" w:hAnsi="Times New Roman"/>
                <w:vanish/>
                <w:sz w:val="2"/>
                <w:szCs w:val="2"/>
              </w:rPr>
              <w:t>​</w:t>
            </w:r>
          </w:p>
        </w:tc>
      </w:tr>
      <w:tr w:rsidR="00EE2917" w:rsidTr="00EA4654">
        <w:trPr>
          <w:jc w:val="center"/>
        </w:trPr>
        <w:tc>
          <w:tcPr>
            <w:tcW w:w="4038" w:type="dxa"/>
            <w:tcBorders>
              <w:top w:val="nil"/>
              <w:left w:val="nil"/>
              <w:bottom w:val="nil"/>
              <w:right w:val="nil"/>
            </w:tcBorders>
          </w:tcPr>
          <w:p w:rsidR="00EE2917" w:rsidRDefault="00EE2917" w:rsidP="00A9247C">
            <w:pPr>
              <w:autoSpaceDE w:val="0"/>
              <w:autoSpaceDN w:val="0"/>
              <w:adjustRightInd w:val="0"/>
              <w:spacing w:after="0" w:line="240" w:lineRule="auto"/>
              <w:ind w:left="54"/>
              <w:jc w:val="center"/>
              <w:rPr>
                <w:rFonts w:ascii="Times New Roman" w:hAnsi="Times New Roman"/>
                <w:sz w:val="24"/>
                <w:szCs w:val="24"/>
              </w:rPr>
            </w:pPr>
            <w:r>
              <w:rPr>
                <w:rFonts w:ascii="Times New Roman" w:hAnsi="Times New Roman"/>
                <w:b/>
                <w:bCs/>
                <w:sz w:val="21"/>
                <w:szCs w:val="21"/>
              </w:rPr>
              <w:t>Delaware</w:t>
            </w:r>
          </w:p>
        </w:tc>
        <w:tc>
          <w:tcPr>
            <w:tcW w:w="4038" w:type="dxa"/>
            <w:tcBorders>
              <w:top w:val="nil"/>
              <w:left w:val="nil"/>
              <w:bottom w:val="nil"/>
              <w:right w:val="nil"/>
            </w:tcBorders>
            <w:vAlign w:val="bottom"/>
          </w:tcPr>
          <w:p w:rsidR="00EE2917" w:rsidRDefault="00EE2917" w:rsidP="00A9247C">
            <w:pPr>
              <w:autoSpaceDE w:val="0"/>
              <w:autoSpaceDN w:val="0"/>
              <w:adjustRightInd w:val="0"/>
              <w:spacing w:after="0" w:line="240" w:lineRule="auto"/>
              <w:ind w:left="54"/>
              <w:jc w:val="center"/>
              <w:rPr>
                <w:rFonts w:ascii="Times New Roman" w:hAnsi="Times New Roman"/>
                <w:sz w:val="24"/>
                <w:szCs w:val="24"/>
              </w:rPr>
            </w:pPr>
            <w:r>
              <w:rPr>
                <w:rFonts w:ascii="Times New Roman" w:hAnsi="Times New Roman"/>
                <w:b/>
                <w:bCs/>
                <w:sz w:val="21"/>
                <w:szCs w:val="21"/>
              </w:rPr>
              <w:t>000-26966</w:t>
            </w:r>
          </w:p>
        </w:tc>
      </w:tr>
      <w:tr w:rsidR="00EE2917" w:rsidTr="00EA4654">
        <w:trPr>
          <w:jc w:val="center"/>
        </w:trPr>
        <w:tc>
          <w:tcPr>
            <w:tcW w:w="4038" w:type="dxa"/>
            <w:tcBorders>
              <w:top w:val="nil"/>
              <w:left w:val="nil"/>
              <w:bottom w:val="nil"/>
              <w:right w:val="nil"/>
            </w:tcBorders>
          </w:tcPr>
          <w:p w:rsidR="00EE2917" w:rsidRDefault="00EE2917" w:rsidP="00A9247C">
            <w:pPr>
              <w:autoSpaceDE w:val="0"/>
              <w:autoSpaceDN w:val="0"/>
              <w:adjustRightInd w:val="0"/>
              <w:spacing w:after="0" w:line="240" w:lineRule="auto"/>
              <w:ind w:left="54"/>
              <w:jc w:val="center"/>
              <w:rPr>
                <w:rFonts w:ascii="Times New Roman" w:hAnsi="Times New Roman"/>
                <w:sz w:val="24"/>
                <w:szCs w:val="24"/>
              </w:rPr>
            </w:pPr>
            <w:r>
              <w:rPr>
                <w:rFonts w:ascii="Times New Roman" w:hAnsi="Times New Roman"/>
                <w:sz w:val="18"/>
                <w:szCs w:val="18"/>
              </w:rPr>
              <w:t>(State or other jurisdiction of incorporation)</w:t>
            </w:r>
          </w:p>
        </w:tc>
        <w:tc>
          <w:tcPr>
            <w:tcW w:w="4038" w:type="dxa"/>
            <w:tcBorders>
              <w:top w:val="nil"/>
              <w:left w:val="nil"/>
              <w:bottom w:val="nil"/>
              <w:right w:val="nil"/>
            </w:tcBorders>
          </w:tcPr>
          <w:p w:rsidR="00EE2917" w:rsidRDefault="00EE2917" w:rsidP="00A9247C">
            <w:pPr>
              <w:autoSpaceDE w:val="0"/>
              <w:autoSpaceDN w:val="0"/>
              <w:adjustRightInd w:val="0"/>
              <w:spacing w:after="0" w:line="240" w:lineRule="auto"/>
              <w:ind w:left="54"/>
              <w:jc w:val="center"/>
              <w:rPr>
                <w:rFonts w:ascii="Times New Roman" w:hAnsi="Times New Roman"/>
                <w:sz w:val="24"/>
                <w:szCs w:val="24"/>
              </w:rPr>
            </w:pPr>
            <w:r>
              <w:rPr>
                <w:rFonts w:ascii="Times New Roman" w:hAnsi="Times New Roman"/>
                <w:sz w:val="18"/>
                <w:szCs w:val="18"/>
              </w:rPr>
              <w:t>(Commission file number)</w:t>
            </w:r>
          </w:p>
        </w:tc>
      </w:tr>
    </w:tbl>
    <w:p w:rsidR="008F3651" w:rsidRPr="00EE2917" w:rsidRDefault="008F3651" w:rsidP="00EE2917">
      <w:pPr>
        <w:autoSpaceDE w:val="0"/>
        <w:autoSpaceDN w:val="0"/>
        <w:adjustRightInd w:val="0"/>
        <w:spacing w:after="0" w:line="240" w:lineRule="auto"/>
        <w:ind w:left="941" w:right="941"/>
        <w:rPr>
          <w:rFonts w:ascii="Times New Roman" w:hAnsi="Times New Roman"/>
          <w:sz w:val="2"/>
          <w:szCs w:val="18"/>
        </w:rPr>
      </w:pPr>
      <w:r w:rsidRPr="00EE2917">
        <w:rPr>
          <w:rFonts w:ascii="Times New Roman" w:hAnsi="Times New Roman"/>
          <w:vanish/>
          <w:sz w:val="2"/>
          <w:szCs w:val="18"/>
        </w:rPr>
        <w:t>​</w:t>
      </w:r>
    </w:p>
    <w:tbl>
      <w:tblPr>
        <w:tblW w:w="0" w:type="auto"/>
        <w:jc w:val="center"/>
        <w:tblLayout w:type="fixed"/>
        <w:tblCellMar>
          <w:left w:w="0" w:type="dxa"/>
          <w:right w:w="0" w:type="dxa"/>
        </w:tblCellMar>
        <w:tblLook w:val="0000" w:firstRow="0" w:lastRow="0" w:firstColumn="0" w:lastColumn="0" w:noHBand="0" w:noVBand="0"/>
      </w:tblPr>
      <w:tblGrid>
        <w:gridCol w:w="4038"/>
        <w:gridCol w:w="4038"/>
      </w:tblGrid>
      <w:tr w:rsidR="00EE2917" w:rsidTr="00EA4654">
        <w:trPr>
          <w:trHeight w:hRule="exact" w:val="20"/>
          <w:jc w:val="center"/>
        </w:trPr>
        <w:tc>
          <w:tcPr>
            <w:tcW w:w="4038" w:type="dxa"/>
            <w:tcBorders>
              <w:top w:val="nil"/>
              <w:left w:val="nil"/>
              <w:bottom w:val="nil"/>
              <w:right w:val="nil"/>
            </w:tcBorders>
            <w:vAlign w:val="bottom"/>
          </w:tcPr>
          <w:p w:rsidR="00EE2917" w:rsidRDefault="00EE2917" w:rsidP="00FE4ECA">
            <w:pPr>
              <w:autoSpaceDE w:val="0"/>
              <w:autoSpaceDN w:val="0"/>
              <w:adjustRightInd w:val="0"/>
              <w:spacing w:after="0" w:line="240" w:lineRule="auto"/>
              <w:ind w:left="54"/>
              <w:rPr>
                <w:rFonts w:ascii="Times New Roman" w:hAnsi="Times New Roman"/>
                <w:sz w:val="24"/>
                <w:szCs w:val="24"/>
              </w:rPr>
            </w:pPr>
          </w:p>
          <w:p w:rsidR="00EE2917" w:rsidRDefault="00EE2917" w:rsidP="00FE4ECA">
            <w:pPr>
              <w:autoSpaceDE w:val="0"/>
              <w:autoSpaceDN w:val="0"/>
              <w:adjustRightInd w:val="0"/>
              <w:spacing w:after="0" w:line="240" w:lineRule="auto"/>
              <w:ind w:left="54"/>
              <w:rPr>
                <w:rFonts w:ascii="Times New Roman" w:hAnsi="Times New Roman"/>
                <w:sz w:val="24"/>
                <w:szCs w:val="24"/>
              </w:rPr>
            </w:pPr>
          </w:p>
          <w:p w:rsidR="00EE2917" w:rsidRDefault="00EE2917">
            <w:pPr>
              <w:keepNext/>
              <w:rPr>
                <w:sz w:val="2"/>
              </w:rPr>
            </w:pPr>
          </w:p>
        </w:tc>
        <w:tc>
          <w:tcPr>
            <w:tcW w:w="4038" w:type="dxa"/>
            <w:tcBorders>
              <w:top w:val="nil"/>
              <w:left w:val="nil"/>
              <w:bottom w:val="nil"/>
              <w:right w:val="nil"/>
            </w:tcBorders>
            <w:vAlign w:val="bottom"/>
          </w:tcPr>
          <w:p w:rsidR="00EE2917" w:rsidRDefault="00EE2917">
            <w:pPr>
              <w:keepNext/>
              <w:rPr>
                <w:sz w:val="2"/>
              </w:rPr>
            </w:pPr>
          </w:p>
        </w:tc>
      </w:tr>
      <w:tr w:rsidR="00EE2917" w:rsidTr="00EA4654">
        <w:trPr>
          <w:jc w:val="center"/>
          <w:hidden/>
        </w:trPr>
        <w:tc>
          <w:tcPr>
            <w:tcW w:w="4038" w:type="dxa"/>
            <w:tcBorders>
              <w:top w:val="nil"/>
              <w:left w:val="nil"/>
              <w:bottom w:val="nil"/>
              <w:right w:val="nil"/>
            </w:tcBorders>
            <w:vAlign w:val="bottom"/>
          </w:tcPr>
          <w:p w:rsidR="00EE2917" w:rsidRDefault="00EE2917" w:rsidP="00FE4ECA">
            <w:pPr>
              <w:autoSpaceDE w:val="0"/>
              <w:autoSpaceDN w:val="0"/>
              <w:adjustRightInd w:val="0"/>
              <w:spacing w:after="0" w:line="240" w:lineRule="auto"/>
              <w:ind w:left="54"/>
              <w:rPr>
                <w:rFonts w:ascii="Times New Roman" w:hAnsi="Times New Roman"/>
                <w:sz w:val="24"/>
                <w:szCs w:val="24"/>
              </w:rPr>
            </w:pPr>
            <w:r>
              <w:rPr>
                <w:rFonts w:ascii="Times New Roman" w:hAnsi="Times New Roman"/>
                <w:vanish/>
                <w:sz w:val="2"/>
                <w:szCs w:val="2"/>
              </w:rPr>
              <w:t>​​</w:t>
            </w:r>
          </w:p>
          <w:p w:rsidR="00EE2917" w:rsidRDefault="00EE2917" w:rsidP="00FE4ECA">
            <w:pPr>
              <w:autoSpaceDE w:val="0"/>
              <w:autoSpaceDN w:val="0"/>
              <w:adjustRightInd w:val="0"/>
              <w:spacing w:after="0" w:line="240" w:lineRule="auto"/>
              <w:ind w:left="54"/>
              <w:rPr>
                <w:rFonts w:ascii="Times New Roman" w:hAnsi="Times New Roman"/>
                <w:sz w:val="24"/>
                <w:szCs w:val="24"/>
              </w:rPr>
            </w:pPr>
            <w:r>
              <w:rPr>
                <w:rFonts w:ascii="Times New Roman" w:hAnsi="Times New Roman"/>
                <w:vanish/>
                <w:sz w:val="2"/>
                <w:szCs w:val="2"/>
              </w:rPr>
              <w:t>​</w:t>
            </w:r>
          </w:p>
        </w:tc>
        <w:tc>
          <w:tcPr>
            <w:tcW w:w="4038" w:type="dxa"/>
            <w:tcBorders>
              <w:top w:val="nil"/>
              <w:left w:val="nil"/>
              <w:bottom w:val="nil"/>
              <w:right w:val="nil"/>
            </w:tcBorders>
            <w:vAlign w:val="bottom"/>
          </w:tcPr>
          <w:p w:rsidR="00EE2917" w:rsidRDefault="00EE2917" w:rsidP="00FE4ECA">
            <w:pPr>
              <w:autoSpaceDE w:val="0"/>
              <w:autoSpaceDN w:val="0"/>
              <w:adjustRightInd w:val="0"/>
              <w:spacing w:after="0" w:line="240" w:lineRule="auto"/>
              <w:ind w:left="54"/>
              <w:rPr>
                <w:rFonts w:ascii="Times New Roman" w:hAnsi="Times New Roman"/>
                <w:sz w:val="24"/>
                <w:szCs w:val="24"/>
              </w:rPr>
            </w:pPr>
            <w:r>
              <w:rPr>
                <w:rFonts w:ascii="Times New Roman" w:hAnsi="Times New Roman"/>
                <w:vanish/>
                <w:sz w:val="2"/>
                <w:szCs w:val="2"/>
              </w:rPr>
              <w:t>​</w:t>
            </w:r>
          </w:p>
        </w:tc>
      </w:tr>
      <w:tr w:rsidR="00EE2917" w:rsidTr="00EA4654">
        <w:trPr>
          <w:jc w:val="center"/>
        </w:trPr>
        <w:tc>
          <w:tcPr>
            <w:tcW w:w="4038" w:type="dxa"/>
            <w:tcBorders>
              <w:top w:val="nil"/>
              <w:left w:val="nil"/>
              <w:bottom w:val="nil"/>
              <w:right w:val="nil"/>
            </w:tcBorders>
            <w:vAlign w:val="bottom"/>
          </w:tcPr>
          <w:p w:rsidR="00EE2917" w:rsidRDefault="00EE2917" w:rsidP="00FE4ECA">
            <w:pPr>
              <w:autoSpaceDE w:val="0"/>
              <w:autoSpaceDN w:val="0"/>
              <w:adjustRightInd w:val="0"/>
              <w:spacing w:after="0" w:line="240" w:lineRule="auto"/>
              <w:ind w:left="54"/>
              <w:jc w:val="center"/>
              <w:rPr>
                <w:rFonts w:ascii="Times New Roman" w:hAnsi="Times New Roman"/>
                <w:sz w:val="24"/>
                <w:szCs w:val="24"/>
              </w:rPr>
            </w:pPr>
            <w:r>
              <w:rPr>
                <w:rFonts w:ascii="Times New Roman" w:hAnsi="Times New Roman"/>
                <w:b/>
                <w:bCs/>
                <w:sz w:val="21"/>
                <w:szCs w:val="21"/>
              </w:rPr>
              <w:t>1595 Wynkoop Street, Suite 800</w:t>
            </w:r>
            <w:r>
              <w:rPr>
                <w:rFonts w:ascii="Times New Roman" w:hAnsi="Times New Roman"/>
                <w:b/>
                <w:bCs/>
                <w:sz w:val="21"/>
                <w:szCs w:val="21"/>
              </w:rPr>
              <w:br/>
              <w:t>Denver, Colorado</w:t>
            </w:r>
          </w:p>
        </w:tc>
        <w:tc>
          <w:tcPr>
            <w:tcW w:w="4038" w:type="dxa"/>
            <w:tcBorders>
              <w:top w:val="nil"/>
              <w:left w:val="nil"/>
              <w:bottom w:val="nil"/>
              <w:right w:val="nil"/>
            </w:tcBorders>
            <w:vAlign w:val="bottom"/>
          </w:tcPr>
          <w:p w:rsidR="00EE2917" w:rsidRDefault="00EE2917" w:rsidP="00FE4ECA">
            <w:pPr>
              <w:autoSpaceDE w:val="0"/>
              <w:autoSpaceDN w:val="0"/>
              <w:adjustRightInd w:val="0"/>
              <w:spacing w:after="0" w:line="240" w:lineRule="auto"/>
              <w:ind w:left="54"/>
              <w:jc w:val="center"/>
              <w:rPr>
                <w:rFonts w:ascii="Times New Roman" w:hAnsi="Times New Roman"/>
                <w:sz w:val="24"/>
                <w:szCs w:val="24"/>
              </w:rPr>
            </w:pPr>
            <w:r>
              <w:rPr>
                <w:rFonts w:ascii="Times New Roman" w:hAnsi="Times New Roman"/>
                <w:b/>
                <w:bCs/>
                <w:sz w:val="21"/>
                <w:szCs w:val="21"/>
              </w:rPr>
              <w:t>80202</w:t>
            </w:r>
          </w:p>
        </w:tc>
      </w:tr>
      <w:tr w:rsidR="00EE2917" w:rsidTr="00EA4654">
        <w:trPr>
          <w:jc w:val="center"/>
        </w:trPr>
        <w:tc>
          <w:tcPr>
            <w:tcW w:w="4038" w:type="dxa"/>
            <w:tcBorders>
              <w:top w:val="nil"/>
              <w:left w:val="nil"/>
              <w:bottom w:val="nil"/>
              <w:right w:val="nil"/>
            </w:tcBorders>
            <w:vAlign w:val="bottom"/>
          </w:tcPr>
          <w:p w:rsidR="00EE2917" w:rsidRDefault="00EE2917" w:rsidP="00FE4ECA">
            <w:pPr>
              <w:autoSpaceDE w:val="0"/>
              <w:autoSpaceDN w:val="0"/>
              <w:adjustRightInd w:val="0"/>
              <w:spacing w:after="0" w:line="240" w:lineRule="auto"/>
              <w:ind w:left="54"/>
              <w:jc w:val="center"/>
              <w:rPr>
                <w:rFonts w:ascii="Times New Roman" w:hAnsi="Times New Roman"/>
                <w:sz w:val="24"/>
                <w:szCs w:val="24"/>
              </w:rPr>
            </w:pPr>
            <w:r>
              <w:rPr>
                <w:rFonts w:ascii="Times New Roman" w:hAnsi="Times New Roman"/>
                <w:sz w:val="18"/>
                <w:szCs w:val="18"/>
              </w:rPr>
              <w:t>(Address of principal executive offices)</w:t>
            </w:r>
          </w:p>
        </w:tc>
        <w:tc>
          <w:tcPr>
            <w:tcW w:w="4038" w:type="dxa"/>
            <w:tcBorders>
              <w:top w:val="nil"/>
              <w:left w:val="nil"/>
              <w:bottom w:val="nil"/>
              <w:right w:val="nil"/>
            </w:tcBorders>
            <w:vAlign w:val="bottom"/>
          </w:tcPr>
          <w:p w:rsidR="00EE2917" w:rsidRDefault="00EE2917" w:rsidP="00FE4ECA">
            <w:pPr>
              <w:autoSpaceDE w:val="0"/>
              <w:autoSpaceDN w:val="0"/>
              <w:adjustRightInd w:val="0"/>
              <w:spacing w:after="0" w:line="240" w:lineRule="auto"/>
              <w:ind w:left="54"/>
              <w:jc w:val="center"/>
              <w:rPr>
                <w:rFonts w:ascii="Times New Roman" w:hAnsi="Times New Roman"/>
                <w:sz w:val="24"/>
                <w:szCs w:val="24"/>
              </w:rPr>
            </w:pPr>
            <w:r>
              <w:rPr>
                <w:rFonts w:ascii="Times New Roman" w:hAnsi="Times New Roman"/>
                <w:sz w:val="18"/>
                <w:szCs w:val="18"/>
              </w:rPr>
              <w:t>(Zip code)</w:t>
            </w:r>
          </w:p>
        </w:tc>
      </w:tr>
    </w:tbl>
    <w:p w:rsidR="00EE2917" w:rsidRDefault="00EE2917"/>
    <w:p w:rsidR="008F3651" w:rsidRDefault="008F3651">
      <w:pPr>
        <w:autoSpaceDE w:val="0"/>
        <w:autoSpaceDN w:val="0"/>
        <w:adjustRightInd w:val="0"/>
        <w:spacing w:after="0" w:line="240" w:lineRule="auto"/>
        <w:ind w:left="941" w:right="941"/>
        <w:rPr>
          <w:rFonts w:ascii="Times New Roman" w:hAnsi="Times New Roman"/>
          <w:sz w:val="24"/>
          <w:szCs w:val="24"/>
        </w:rPr>
      </w:pPr>
      <w:r>
        <w:rPr>
          <w:rFonts w:ascii="Times New Roman" w:hAnsi="Times New Roman"/>
          <w:vanish/>
          <w:sz w:val="18"/>
          <w:szCs w:val="18"/>
        </w:rPr>
        <w:t>​</w:t>
      </w:r>
    </w:p>
    <w:p w:rsidR="008F3651" w:rsidRDefault="008F3651">
      <w:pPr>
        <w:autoSpaceDE w:val="0"/>
        <w:autoSpaceDN w:val="0"/>
        <w:adjustRightInd w:val="0"/>
        <w:spacing w:after="0" w:line="240" w:lineRule="auto"/>
        <w:ind w:left="941" w:right="941"/>
        <w:rPr>
          <w:rFonts w:ascii="Times New Roman" w:hAnsi="Times New Roman"/>
          <w:sz w:val="24"/>
          <w:szCs w:val="24"/>
        </w:rPr>
      </w:pPr>
      <w:r>
        <w:rPr>
          <w:rFonts w:ascii="Times New Roman" w:hAnsi="Times New Roman"/>
          <w:vanish/>
          <w:sz w:val="16"/>
          <w:szCs w:val="16"/>
        </w:rPr>
        <w:t>​</w:t>
      </w:r>
    </w:p>
    <w:tbl>
      <w:tblPr>
        <w:tblW w:w="0" w:type="auto"/>
        <w:jc w:val="center"/>
        <w:tblLayout w:type="fixed"/>
        <w:tblCellMar>
          <w:left w:w="0" w:type="dxa"/>
          <w:right w:w="0" w:type="dxa"/>
        </w:tblCellMar>
        <w:tblLook w:val="0000" w:firstRow="0" w:lastRow="0" w:firstColumn="0" w:lastColumn="0" w:noHBand="0" w:noVBand="0"/>
      </w:tblPr>
      <w:tblGrid>
        <w:gridCol w:w="8191"/>
      </w:tblGrid>
      <w:tr w:rsidR="00EE2917" w:rsidTr="00EA4654">
        <w:trPr>
          <w:trHeight w:hRule="exact" w:val="20"/>
          <w:jc w:val="center"/>
        </w:trPr>
        <w:tc>
          <w:tcPr>
            <w:tcW w:w="8191" w:type="dxa"/>
            <w:tcBorders>
              <w:top w:val="nil"/>
              <w:left w:val="nil"/>
              <w:bottom w:val="nil"/>
              <w:right w:val="nil"/>
            </w:tcBorders>
            <w:vAlign w:val="bottom"/>
          </w:tcPr>
          <w:p w:rsidR="00EE2917" w:rsidRDefault="00EE2917">
            <w:pPr>
              <w:keepNext/>
              <w:rPr>
                <w:sz w:val="2"/>
              </w:rPr>
            </w:pPr>
          </w:p>
        </w:tc>
      </w:tr>
      <w:tr w:rsidR="00EE2917" w:rsidTr="00EA4654">
        <w:trPr>
          <w:jc w:val="center"/>
          <w:hidden/>
        </w:trPr>
        <w:tc>
          <w:tcPr>
            <w:tcW w:w="8191" w:type="dxa"/>
            <w:tcBorders>
              <w:top w:val="nil"/>
              <w:left w:val="nil"/>
              <w:bottom w:val="nil"/>
              <w:right w:val="nil"/>
            </w:tcBorders>
            <w:vAlign w:val="bottom"/>
          </w:tcPr>
          <w:p w:rsidR="00EE2917" w:rsidRDefault="00EE2917" w:rsidP="005C7667">
            <w:pPr>
              <w:autoSpaceDE w:val="0"/>
              <w:autoSpaceDN w:val="0"/>
              <w:adjustRightInd w:val="0"/>
              <w:spacing w:after="0" w:line="240" w:lineRule="auto"/>
              <w:ind w:left="54"/>
              <w:rPr>
                <w:rFonts w:ascii="Times New Roman" w:hAnsi="Times New Roman"/>
                <w:sz w:val="24"/>
                <w:szCs w:val="24"/>
              </w:rPr>
            </w:pPr>
            <w:r>
              <w:rPr>
                <w:rFonts w:ascii="Times New Roman" w:hAnsi="Times New Roman"/>
                <w:vanish/>
                <w:sz w:val="2"/>
                <w:szCs w:val="2"/>
              </w:rPr>
              <w:t>​</w:t>
            </w:r>
          </w:p>
        </w:tc>
      </w:tr>
      <w:tr w:rsidR="00EE2917" w:rsidTr="00EA4654">
        <w:trPr>
          <w:jc w:val="center"/>
        </w:trPr>
        <w:tc>
          <w:tcPr>
            <w:tcW w:w="8191" w:type="dxa"/>
            <w:tcBorders>
              <w:top w:val="nil"/>
              <w:left w:val="nil"/>
              <w:bottom w:val="nil"/>
              <w:right w:val="nil"/>
            </w:tcBorders>
            <w:vAlign w:val="bottom"/>
          </w:tcPr>
          <w:p w:rsidR="00EE2917" w:rsidRPr="00EE2917" w:rsidRDefault="00EE2917" w:rsidP="005C7667">
            <w:pPr>
              <w:autoSpaceDE w:val="0"/>
              <w:autoSpaceDN w:val="0"/>
              <w:adjustRightInd w:val="0"/>
              <w:spacing w:after="0" w:line="240" w:lineRule="auto"/>
              <w:ind w:left="54"/>
              <w:jc w:val="center"/>
              <w:rPr>
                <w:rFonts w:ascii="Times New Roman" w:hAnsi="Times New Roman"/>
                <w:b/>
                <w:bCs/>
              </w:rPr>
            </w:pPr>
            <w:r w:rsidRPr="00EE2917">
              <w:rPr>
                <w:rFonts w:ascii="Times New Roman" w:hAnsi="Times New Roman"/>
                <w:b/>
                <w:bCs/>
              </w:rPr>
              <w:t>Elizabeth K. Vonne,</w:t>
            </w:r>
          </w:p>
          <w:p w:rsidR="00EE2917" w:rsidRPr="00EE2917" w:rsidRDefault="00EE2917" w:rsidP="005C7667">
            <w:pPr>
              <w:autoSpaceDE w:val="0"/>
              <w:autoSpaceDN w:val="0"/>
              <w:adjustRightInd w:val="0"/>
              <w:spacing w:after="0" w:line="240" w:lineRule="auto"/>
              <w:ind w:left="54"/>
              <w:jc w:val="center"/>
              <w:rPr>
                <w:rFonts w:ascii="Times New Roman" w:hAnsi="Times New Roman"/>
                <w:b/>
                <w:bCs/>
              </w:rPr>
            </w:pPr>
            <w:r w:rsidRPr="00EE2917">
              <w:rPr>
                <w:rFonts w:ascii="Times New Roman" w:hAnsi="Times New Roman"/>
                <w:b/>
                <w:bCs/>
              </w:rPr>
              <w:t>Executive Vice President, General Counsel &amp; Corporate Secretary</w:t>
            </w:r>
          </w:p>
          <w:p w:rsidR="00EE2917" w:rsidRPr="00EE2917" w:rsidRDefault="00EE2917" w:rsidP="005C7667">
            <w:pPr>
              <w:autoSpaceDE w:val="0"/>
              <w:autoSpaceDN w:val="0"/>
              <w:adjustRightInd w:val="0"/>
              <w:spacing w:after="0" w:line="240" w:lineRule="auto"/>
              <w:ind w:left="54"/>
              <w:jc w:val="center"/>
              <w:rPr>
                <w:rFonts w:ascii="Times New Roman" w:hAnsi="Times New Roman"/>
                <w:sz w:val="24"/>
                <w:szCs w:val="24"/>
              </w:rPr>
            </w:pPr>
            <w:r w:rsidRPr="00EE2917">
              <w:rPr>
                <w:rFonts w:ascii="Times New Roman" w:hAnsi="Times New Roman"/>
                <w:b/>
                <w:bCs/>
              </w:rPr>
              <w:t>(970) 407-6626</w:t>
            </w:r>
          </w:p>
        </w:tc>
      </w:tr>
      <w:tr w:rsidR="00EE2917" w:rsidTr="00EA4654">
        <w:trPr>
          <w:jc w:val="center"/>
        </w:trPr>
        <w:tc>
          <w:tcPr>
            <w:tcW w:w="8191" w:type="dxa"/>
            <w:tcBorders>
              <w:top w:val="nil"/>
              <w:left w:val="nil"/>
              <w:bottom w:val="nil"/>
              <w:right w:val="nil"/>
            </w:tcBorders>
            <w:vAlign w:val="bottom"/>
          </w:tcPr>
          <w:p w:rsidR="00EE2917" w:rsidRPr="00EE2917" w:rsidRDefault="00EE2917" w:rsidP="005C7667">
            <w:pPr>
              <w:autoSpaceDE w:val="0"/>
              <w:autoSpaceDN w:val="0"/>
              <w:adjustRightInd w:val="0"/>
              <w:spacing w:after="0" w:line="240" w:lineRule="auto"/>
              <w:ind w:left="54"/>
              <w:jc w:val="center"/>
              <w:rPr>
                <w:rFonts w:ascii="Times New Roman" w:hAnsi="Times New Roman"/>
                <w:sz w:val="24"/>
                <w:szCs w:val="24"/>
              </w:rPr>
            </w:pPr>
            <w:r w:rsidRPr="00EE2917">
              <w:rPr>
                <w:rFonts w:ascii="Times New Roman" w:hAnsi="Times New Roman"/>
                <w:sz w:val="18"/>
                <w:szCs w:val="18"/>
              </w:rPr>
              <w:t>(Name and telephone number, including area code, of the person to contact in connection with this report.)</w:t>
            </w:r>
          </w:p>
        </w:tc>
      </w:tr>
    </w:tbl>
    <w:p w:rsidR="008F3651" w:rsidRDefault="008F3651">
      <w:pPr>
        <w:autoSpaceDE w:val="0"/>
        <w:autoSpaceDN w:val="0"/>
        <w:adjustRightInd w:val="0"/>
        <w:spacing w:after="0" w:line="240" w:lineRule="auto"/>
        <w:ind w:left="941" w:right="941"/>
        <w:rPr>
          <w:rFonts w:ascii="Times New Roman" w:hAnsi="Times New Roman"/>
          <w:sz w:val="24"/>
          <w:szCs w:val="24"/>
        </w:rPr>
      </w:pPr>
      <w:r>
        <w:rPr>
          <w:rFonts w:ascii="Times New Roman" w:hAnsi="Times New Roman"/>
          <w:vanish/>
          <w:sz w:val="18"/>
          <w:szCs w:val="18"/>
        </w:rPr>
        <w:t>​</w:t>
      </w:r>
    </w:p>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sz w:val="14"/>
          <w:szCs w:val="14"/>
        </w:rPr>
        <w:t>________________________________________________</w:t>
      </w:r>
    </w:p>
    <w:p w:rsidR="008F3651" w:rsidRDefault="008F3651">
      <w:pPr>
        <w:autoSpaceDE w:val="0"/>
        <w:autoSpaceDN w:val="0"/>
        <w:adjustRightInd w:val="0"/>
        <w:spacing w:after="0" w:line="240" w:lineRule="auto"/>
        <w:ind w:left="941" w:right="941"/>
        <w:rPr>
          <w:rFonts w:ascii="Times New Roman" w:hAnsi="Times New Roman"/>
          <w:sz w:val="24"/>
          <w:szCs w:val="24"/>
        </w:rPr>
      </w:pPr>
      <w:r>
        <w:rPr>
          <w:rFonts w:ascii="Times New Roman" w:hAnsi="Times New Roman"/>
          <w:vanish/>
          <w:sz w:val="18"/>
          <w:szCs w:val="18"/>
        </w:rPr>
        <w:t>​</w:t>
      </w:r>
    </w:p>
    <w:p w:rsidR="008F3651" w:rsidRDefault="008F3651">
      <w:pPr>
        <w:autoSpaceDE w:val="0"/>
        <w:autoSpaceDN w:val="0"/>
        <w:adjustRightInd w:val="0"/>
        <w:spacing w:after="0" w:line="240" w:lineRule="auto"/>
        <w:ind w:left="941" w:right="941"/>
        <w:rPr>
          <w:rFonts w:ascii="Times New Roman" w:hAnsi="Times New Roman"/>
          <w:sz w:val="24"/>
          <w:szCs w:val="24"/>
        </w:rPr>
      </w:pPr>
      <w:r>
        <w:rPr>
          <w:rFonts w:ascii="Times New Roman" w:hAnsi="Times New Roman"/>
          <w:sz w:val="18"/>
          <w:szCs w:val="18"/>
        </w:rPr>
        <w:t>Check the appropriate box to indicate the rule pursuant to which this form is being filed:</w:t>
      </w:r>
    </w:p>
    <w:p w:rsidR="008F3651" w:rsidRDefault="008F3651">
      <w:pPr>
        <w:autoSpaceDE w:val="0"/>
        <w:autoSpaceDN w:val="0"/>
        <w:adjustRightInd w:val="0"/>
        <w:spacing w:after="0" w:line="240" w:lineRule="auto"/>
        <w:ind w:left="941" w:right="941"/>
        <w:rPr>
          <w:rFonts w:ascii="Times New Roman" w:hAnsi="Times New Roman"/>
          <w:sz w:val="24"/>
          <w:szCs w:val="24"/>
        </w:rPr>
      </w:pPr>
      <w:r>
        <w:rPr>
          <w:rFonts w:ascii="Times New Roman" w:hAnsi="Times New Roman"/>
          <w:vanish/>
          <w:sz w:val="18"/>
          <w:szCs w:val="18"/>
        </w:rPr>
        <w:t>​</w:t>
      </w:r>
    </w:p>
    <w:p w:rsidR="008F3651" w:rsidRDefault="008F3651">
      <w:pPr>
        <w:autoSpaceDE w:val="0"/>
        <w:autoSpaceDN w:val="0"/>
        <w:adjustRightInd w:val="0"/>
        <w:spacing w:after="0" w:line="126" w:lineRule="exact"/>
        <w:rPr>
          <w:rFonts w:ascii="Times New Roman" w:hAnsi="Times New Roman"/>
          <w:sz w:val="24"/>
          <w:szCs w:val="24"/>
        </w:rPr>
      </w:pPr>
    </w:p>
    <w:tbl>
      <w:tblPr>
        <w:tblW w:w="0" w:type="auto"/>
        <w:tblInd w:w="941" w:type="dxa"/>
        <w:tblLayout w:type="fixed"/>
        <w:tblCellMar>
          <w:left w:w="0" w:type="dxa"/>
          <w:right w:w="0" w:type="dxa"/>
        </w:tblCellMar>
        <w:tblLook w:val="0000" w:firstRow="0" w:lastRow="0" w:firstColumn="0" w:lastColumn="0" w:noHBand="0" w:noVBand="0"/>
      </w:tblPr>
      <w:tblGrid>
        <w:gridCol w:w="338"/>
        <w:gridCol w:w="9299"/>
      </w:tblGrid>
      <w:tr w:rsidR="00E25CF2" w:rsidRPr="0005404E" w:rsidTr="00FE4257">
        <w:trPr>
          <w:trHeight w:hRule="exact" w:val="20"/>
        </w:trPr>
        <w:tc>
          <w:tcPr>
            <w:tcW w:w="338" w:type="dxa"/>
            <w:tcBorders>
              <w:top w:val="nil"/>
              <w:left w:val="nil"/>
              <w:bottom w:val="nil"/>
              <w:right w:val="nil"/>
            </w:tcBorders>
          </w:tcPr>
          <w:p w:rsidR="00E25CF2" w:rsidRDefault="00E25CF2">
            <w:pPr>
              <w:keepNext/>
              <w:rPr>
                <w:sz w:val="2"/>
              </w:rPr>
            </w:pPr>
          </w:p>
        </w:tc>
        <w:tc>
          <w:tcPr>
            <w:tcW w:w="9299" w:type="dxa"/>
            <w:tcBorders>
              <w:top w:val="nil"/>
              <w:left w:val="nil"/>
              <w:bottom w:val="nil"/>
              <w:right w:val="nil"/>
            </w:tcBorders>
          </w:tcPr>
          <w:p w:rsidR="00E25CF2" w:rsidRDefault="00E25CF2">
            <w:pPr>
              <w:keepNext/>
              <w:rPr>
                <w:sz w:val="2"/>
              </w:rPr>
            </w:pPr>
          </w:p>
        </w:tc>
      </w:tr>
      <w:tr w:rsidR="00E25CF2" w:rsidRPr="0005404E" w:rsidTr="00FE4257">
        <w:sdt>
          <w:sdtPr>
            <w:rPr>
              <w:rFonts w:ascii="Times New Roman" w:hAnsi="Times New Roman"/>
              <w:sz w:val="18"/>
              <w:szCs w:val="18"/>
            </w:rPr>
            <w:id w:val="-1070112721"/>
            <w14:checkbox>
              <w14:checked w14:val="1"/>
              <w14:checkedState w14:val="2612" w14:font="MS Gothic"/>
              <w14:uncheckedState w14:val="2610" w14:font="MS Gothic"/>
            </w14:checkbox>
          </w:sdtPr>
          <w:sdtEndPr/>
          <w:sdtContent>
            <w:tc>
              <w:tcPr>
                <w:tcW w:w="338" w:type="dxa"/>
                <w:tcBorders>
                  <w:top w:val="nil"/>
                  <w:left w:val="nil"/>
                  <w:bottom w:val="nil"/>
                  <w:right w:val="nil"/>
                </w:tcBorders>
              </w:tcPr>
              <w:p w:rsidR="00E25CF2" w:rsidRPr="0005404E" w:rsidRDefault="00E25CF2" w:rsidP="00FE4257">
                <w:pPr>
                  <w:autoSpaceDE w:val="0"/>
                  <w:autoSpaceDN w:val="0"/>
                  <w:adjustRightInd w:val="0"/>
                  <w:spacing w:after="0" w:line="240" w:lineRule="auto"/>
                  <w:ind w:left="54"/>
                  <w:rPr>
                    <w:rFonts w:ascii="Times New Roman" w:hAnsi="Times New Roman"/>
                    <w:sz w:val="18"/>
                    <w:szCs w:val="18"/>
                  </w:rPr>
                </w:pPr>
                <w:r w:rsidRPr="0005404E">
                  <w:rPr>
                    <w:rFonts w:ascii="MS Gothic" w:eastAsia="MS Gothic" w:hAnsi="MS Gothic" w:hint="eastAsia"/>
                    <w:sz w:val="18"/>
                    <w:szCs w:val="18"/>
                  </w:rPr>
                  <w:t>☒</w:t>
                </w:r>
              </w:p>
            </w:tc>
          </w:sdtContent>
        </w:sdt>
        <w:tc>
          <w:tcPr>
            <w:tcW w:w="9299" w:type="dxa"/>
            <w:tcBorders>
              <w:top w:val="nil"/>
              <w:left w:val="nil"/>
              <w:bottom w:val="nil"/>
              <w:right w:val="nil"/>
            </w:tcBorders>
          </w:tcPr>
          <w:p w:rsidR="00E25CF2" w:rsidRPr="0005404E" w:rsidRDefault="00E25CF2" w:rsidP="00FE4257">
            <w:pPr>
              <w:autoSpaceDE w:val="0"/>
              <w:autoSpaceDN w:val="0"/>
              <w:adjustRightInd w:val="0"/>
              <w:spacing w:after="0" w:line="240" w:lineRule="auto"/>
              <w:ind w:left="54"/>
              <w:rPr>
                <w:rFonts w:ascii="Times New Roman" w:hAnsi="Times New Roman"/>
                <w:sz w:val="18"/>
                <w:szCs w:val="18"/>
              </w:rPr>
            </w:pPr>
            <w:r w:rsidRPr="0005404E">
              <w:rPr>
                <w:rFonts w:ascii="Times New Roman" w:hAnsi="Times New Roman"/>
                <w:sz w:val="18"/>
                <w:szCs w:val="18"/>
              </w:rPr>
              <w:t xml:space="preserve">Rule 13p-1 under the Securities Exchange Act (17 CFR 240.13p-1) for the reporting period from January 1 to December 31, </w:t>
            </w:r>
            <w:r>
              <w:rPr>
                <w:rFonts w:ascii="Times New Roman" w:hAnsi="Times New Roman"/>
                <w:sz w:val="18"/>
                <w:szCs w:val="18"/>
              </w:rPr>
              <w:t>202</w:t>
            </w:r>
            <w:r w:rsidR="00F51B5A">
              <w:rPr>
                <w:rFonts w:ascii="Times New Roman" w:hAnsi="Times New Roman"/>
                <w:sz w:val="18"/>
                <w:szCs w:val="18"/>
              </w:rPr>
              <w:t>5</w:t>
            </w:r>
            <w:r w:rsidRPr="0005404E">
              <w:rPr>
                <w:rFonts w:ascii="Times New Roman" w:hAnsi="Times New Roman"/>
                <w:sz w:val="18"/>
                <w:szCs w:val="18"/>
              </w:rPr>
              <w:t>.</w:t>
            </w:r>
          </w:p>
        </w:tc>
      </w:tr>
      <w:tr w:rsidR="00E25CF2" w:rsidRPr="0005404E" w:rsidTr="00FE4257">
        <w:tc>
          <w:tcPr>
            <w:tcW w:w="338" w:type="dxa"/>
            <w:tcBorders>
              <w:top w:val="nil"/>
              <w:left w:val="nil"/>
              <w:bottom w:val="nil"/>
              <w:right w:val="nil"/>
            </w:tcBorders>
          </w:tcPr>
          <w:p w:rsidR="00E25CF2" w:rsidRPr="0005404E" w:rsidRDefault="00E25CF2" w:rsidP="00FE4257">
            <w:pPr>
              <w:autoSpaceDE w:val="0"/>
              <w:autoSpaceDN w:val="0"/>
              <w:adjustRightInd w:val="0"/>
              <w:spacing w:after="0" w:line="240" w:lineRule="auto"/>
              <w:ind w:left="54"/>
              <w:rPr>
                <w:rFonts w:ascii="Times New Roman" w:hAnsi="Times New Roman"/>
                <w:sz w:val="18"/>
                <w:szCs w:val="18"/>
              </w:rPr>
            </w:pPr>
          </w:p>
        </w:tc>
        <w:tc>
          <w:tcPr>
            <w:tcW w:w="9299" w:type="dxa"/>
            <w:tcBorders>
              <w:top w:val="nil"/>
              <w:left w:val="nil"/>
              <w:bottom w:val="nil"/>
              <w:right w:val="nil"/>
            </w:tcBorders>
          </w:tcPr>
          <w:p w:rsidR="00E25CF2" w:rsidRPr="0005404E" w:rsidRDefault="00E25CF2" w:rsidP="00FE4257">
            <w:pPr>
              <w:autoSpaceDE w:val="0"/>
              <w:autoSpaceDN w:val="0"/>
              <w:adjustRightInd w:val="0"/>
              <w:spacing w:after="0" w:line="240" w:lineRule="auto"/>
              <w:ind w:left="54"/>
              <w:rPr>
                <w:rFonts w:ascii="Times New Roman" w:hAnsi="Times New Roman"/>
                <w:sz w:val="18"/>
                <w:szCs w:val="18"/>
              </w:rPr>
            </w:pPr>
          </w:p>
        </w:tc>
      </w:tr>
      <w:tr w:rsidR="00E25CF2" w:rsidTr="00FE4257">
        <w:sdt>
          <w:sdtPr>
            <w:rPr>
              <w:rFonts w:ascii="Times New Roman" w:hAnsi="Times New Roman"/>
              <w:sz w:val="18"/>
              <w:szCs w:val="18"/>
            </w:rPr>
            <w:id w:val="-336463477"/>
            <w14:checkbox>
              <w14:checked w14:val="0"/>
              <w14:checkedState w14:val="2612" w14:font="MS Gothic"/>
              <w14:uncheckedState w14:val="2610" w14:font="MS Gothic"/>
            </w14:checkbox>
          </w:sdtPr>
          <w:sdtEndPr/>
          <w:sdtContent>
            <w:tc>
              <w:tcPr>
                <w:tcW w:w="338" w:type="dxa"/>
                <w:tcBorders>
                  <w:top w:val="nil"/>
                  <w:left w:val="nil"/>
                  <w:bottom w:val="nil"/>
                  <w:right w:val="nil"/>
                </w:tcBorders>
              </w:tcPr>
              <w:p w:rsidR="00E25CF2" w:rsidRDefault="00E25CF2" w:rsidP="00FE4257">
                <w:pPr>
                  <w:autoSpaceDE w:val="0"/>
                  <w:autoSpaceDN w:val="0"/>
                  <w:adjustRightInd w:val="0"/>
                  <w:spacing w:after="0" w:line="240" w:lineRule="auto"/>
                  <w:ind w:left="54"/>
                  <w:rPr>
                    <w:rFonts w:ascii="Times New Roman" w:hAnsi="Times New Roman"/>
                    <w:sz w:val="24"/>
                    <w:szCs w:val="24"/>
                  </w:rPr>
                </w:pPr>
                <w:r>
                  <w:rPr>
                    <w:rFonts w:ascii="MS Gothic" w:eastAsia="MS Gothic" w:hAnsi="MS Gothic" w:hint="eastAsia"/>
                    <w:sz w:val="18"/>
                    <w:szCs w:val="18"/>
                  </w:rPr>
                  <w:t>☐</w:t>
                </w:r>
              </w:p>
            </w:tc>
          </w:sdtContent>
        </w:sdt>
        <w:tc>
          <w:tcPr>
            <w:tcW w:w="9299" w:type="dxa"/>
            <w:tcBorders>
              <w:top w:val="nil"/>
              <w:left w:val="nil"/>
              <w:bottom w:val="nil"/>
              <w:right w:val="nil"/>
            </w:tcBorders>
          </w:tcPr>
          <w:p w:rsidR="00E25CF2" w:rsidRDefault="00E25CF2" w:rsidP="00FE4257">
            <w:pPr>
              <w:autoSpaceDE w:val="0"/>
              <w:autoSpaceDN w:val="0"/>
              <w:adjustRightInd w:val="0"/>
              <w:spacing w:after="0" w:line="240" w:lineRule="auto"/>
              <w:ind w:left="54"/>
              <w:rPr>
                <w:rFonts w:ascii="Times New Roman" w:hAnsi="Times New Roman"/>
                <w:sz w:val="24"/>
                <w:szCs w:val="24"/>
              </w:rPr>
            </w:pPr>
            <w:r w:rsidRPr="0005404E">
              <w:rPr>
                <w:rFonts w:ascii="Times New Roman" w:hAnsi="Times New Roman"/>
                <w:sz w:val="18"/>
                <w:szCs w:val="18"/>
              </w:rPr>
              <w:t>Rule 13</w:t>
            </w:r>
            <w:r>
              <w:rPr>
                <w:rFonts w:ascii="Times New Roman" w:hAnsi="Times New Roman"/>
                <w:sz w:val="18"/>
                <w:szCs w:val="18"/>
              </w:rPr>
              <w:t>q</w:t>
            </w:r>
            <w:r w:rsidRPr="0005404E">
              <w:rPr>
                <w:rFonts w:ascii="Times New Roman" w:hAnsi="Times New Roman"/>
                <w:sz w:val="18"/>
                <w:szCs w:val="18"/>
              </w:rPr>
              <w:t>-1 under the Securities Exchange Act (17 CFR 240.13</w:t>
            </w:r>
            <w:r>
              <w:rPr>
                <w:rFonts w:ascii="Times New Roman" w:hAnsi="Times New Roman"/>
                <w:sz w:val="18"/>
                <w:szCs w:val="18"/>
              </w:rPr>
              <w:t>q</w:t>
            </w:r>
            <w:r w:rsidRPr="0005404E">
              <w:rPr>
                <w:rFonts w:ascii="Times New Roman" w:hAnsi="Times New Roman"/>
                <w:sz w:val="18"/>
                <w:szCs w:val="18"/>
              </w:rPr>
              <w:t xml:space="preserve">-1) for the </w:t>
            </w:r>
            <w:r>
              <w:rPr>
                <w:rFonts w:ascii="Times New Roman" w:hAnsi="Times New Roman"/>
                <w:sz w:val="18"/>
                <w:szCs w:val="18"/>
              </w:rPr>
              <w:t>fiscal year ended __________</w:t>
            </w:r>
            <w:r w:rsidRPr="0005404E">
              <w:rPr>
                <w:rFonts w:ascii="Times New Roman" w:hAnsi="Times New Roman"/>
                <w:sz w:val="18"/>
                <w:szCs w:val="18"/>
              </w:rPr>
              <w:t>.</w:t>
            </w:r>
          </w:p>
        </w:tc>
      </w:tr>
      <w:tr w:rsidR="00E25CF2" w:rsidTr="00FE4257">
        <w:trPr>
          <w:hidden/>
        </w:trPr>
        <w:tc>
          <w:tcPr>
            <w:tcW w:w="338" w:type="dxa"/>
            <w:tcBorders>
              <w:top w:val="nil"/>
              <w:left w:val="nil"/>
              <w:bottom w:val="nil"/>
              <w:right w:val="nil"/>
            </w:tcBorders>
          </w:tcPr>
          <w:p w:rsidR="00E25CF2" w:rsidRDefault="00E25CF2" w:rsidP="00FE4257">
            <w:pPr>
              <w:autoSpaceDE w:val="0"/>
              <w:autoSpaceDN w:val="0"/>
              <w:adjustRightInd w:val="0"/>
              <w:spacing w:after="0" w:line="240" w:lineRule="auto"/>
              <w:ind w:left="54"/>
              <w:rPr>
                <w:rFonts w:ascii="Times New Roman" w:hAnsi="Times New Roman"/>
                <w:vanish/>
                <w:sz w:val="16"/>
                <w:szCs w:val="16"/>
              </w:rPr>
            </w:pPr>
          </w:p>
        </w:tc>
        <w:tc>
          <w:tcPr>
            <w:tcW w:w="9299" w:type="dxa"/>
            <w:tcBorders>
              <w:top w:val="nil"/>
              <w:left w:val="nil"/>
              <w:bottom w:val="nil"/>
              <w:right w:val="nil"/>
            </w:tcBorders>
          </w:tcPr>
          <w:p w:rsidR="00E25CF2" w:rsidRDefault="00E25CF2" w:rsidP="00FE4257">
            <w:pPr>
              <w:autoSpaceDE w:val="0"/>
              <w:autoSpaceDN w:val="0"/>
              <w:adjustRightInd w:val="0"/>
              <w:spacing w:after="0" w:line="240" w:lineRule="auto"/>
              <w:ind w:left="54"/>
              <w:rPr>
                <w:rFonts w:ascii="Times New Roman" w:hAnsi="Times New Roman"/>
                <w:vanish/>
                <w:sz w:val="18"/>
                <w:szCs w:val="18"/>
              </w:rPr>
            </w:pPr>
          </w:p>
        </w:tc>
      </w:tr>
    </w:tbl>
    <w:p w:rsidR="00E25CF2" w:rsidRDefault="00E25CF2"/>
    <w:p w:rsidR="008F3651" w:rsidRDefault="008F3651">
      <w:pPr>
        <w:autoSpaceDE w:val="0"/>
        <w:autoSpaceDN w:val="0"/>
        <w:adjustRightInd w:val="0"/>
        <w:spacing w:after="0" w:line="240" w:lineRule="auto"/>
        <w:ind w:left="941" w:right="941"/>
        <w:jc w:val="center"/>
        <w:rPr>
          <w:rFonts w:ascii="Times New Roman" w:hAnsi="Times New Roman"/>
          <w:sz w:val="24"/>
          <w:szCs w:val="24"/>
        </w:rPr>
      </w:pPr>
      <w:r>
        <w:rPr>
          <w:rFonts w:ascii="Times New Roman" w:hAnsi="Times New Roman"/>
          <w:vanish/>
          <w:sz w:val="18"/>
          <w:szCs w:val="18"/>
        </w:rPr>
        <w:t>​</w:t>
      </w:r>
    </w:p>
    <w:p w:rsidR="008F3651" w:rsidRDefault="008F3651">
      <w:pPr>
        <w:autoSpaceDE w:val="0"/>
        <w:autoSpaceDN w:val="0"/>
        <w:adjustRightInd w:val="0"/>
        <w:spacing w:after="0" w:line="126" w:lineRule="exact"/>
        <w:rPr>
          <w:rFonts w:ascii="Times New Roman" w:hAnsi="Times New Roman"/>
          <w:sz w:val="24"/>
          <w:szCs w:val="24"/>
        </w:rPr>
      </w:pPr>
    </w:p>
    <w:tbl>
      <w:tblPr>
        <w:tblW w:w="0" w:type="auto"/>
        <w:tblInd w:w="941" w:type="dxa"/>
        <w:tblLayout w:type="fixed"/>
        <w:tblCellMar>
          <w:left w:w="0" w:type="dxa"/>
          <w:right w:w="0" w:type="dxa"/>
        </w:tblCellMar>
        <w:tblLook w:val="0000" w:firstRow="0" w:lastRow="0" w:firstColumn="0" w:lastColumn="0" w:noHBand="0" w:noVBand="0"/>
      </w:tblPr>
      <w:tblGrid>
        <w:gridCol w:w="9637"/>
      </w:tblGrid>
      <w:tr w:rsidR="00EE2917" w:rsidTr="00CE3A67">
        <w:trPr>
          <w:trHeight w:hRule="exact" w:val="20"/>
        </w:trPr>
        <w:tc>
          <w:tcPr>
            <w:tcW w:w="9637" w:type="dxa"/>
            <w:tcBorders>
              <w:top w:val="nil"/>
              <w:left w:val="nil"/>
              <w:bottom w:val="nil"/>
              <w:right w:val="nil"/>
            </w:tcBorders>
            <w:vAlign w:val="bottom"/>
          </w:tcPr>
          <w:p w:rsidR="00EE2917" w:rsidRDefault="00EE2917">
            <w:pPr>
              <w:keepNext/>
              <w:rPr>
                <w:sz w:val="2"/>
              </w:rPr>
            </w:pPr>
          </w:p>
        </w:tc>
      </w:tr>
      <w:tr w:rsidR="00EE2917" w:rsidTr="00CE3A67">
        <w:trPr>
          <w:hidden/>
        </w:trPr>
        <w:tc>
          <w:tcPr>
            <w:tcW w:w="9637" w:type="dxa"/>
            <w:tcBorders>
              <w:top w:val="single" w:sz="14" w:space="0" w:color="000000"/>
              <w:left w:val="nil"/>
              <w:bottom w:val="single" w:sz="6" w:space="0" w:color="000000"/>
              <w:right w:val="nil"/>
            </w:tcBorders>
            <w:vAlign w:val="bottom"/>
          </w:tcPr>
          <w:p w:rsidR="00EE2917" w:rsidRDefault="00EE2917" w:rsidP="00CE3A67">
            <w:pPr>
              <w:autoSpaceDE w:val="0"/>
              <w:autoSpaceDN w:val="0"/>
              <w:adjustRightInd w:val="0"/>
              <w:spacing w:after="0" w:line="240" w:lineRule="auto"/>
              <w:ind w:left="54"/>
              <w:rPr>
                <w:rFonts w:ascii="Times New Roman" w:hAnsi="Times New Roman"/>
                <w:sz w:val="24"/>
                <w:szCs w:val="24"/>
              </w:rPr>
            </w:pPr>
            <w:r>
              <w:rPr>
                <w:rFonts w:ascii="Times New Roman" w:hAnsi="Times New Roman"/>
                <w:vanish/>
                <w:sz w:val="18"/>
                <w:szCs w:val="18"/>
              </w:rPr>
              <w:t>​</w:t>
            </w:r>
          </w:p>
        </w:tc>
      </w:tr>
    </w:tbl>
    <w:p w:rsidR="00EE2917" w:rsidRDefault="00EE2917">
      <w:pPr>
        <w:sectPr w:rsidR="00EE2917">
          <w:pgSz w:w="12240" w:h="15840"/>
          <w:pgMar w:top="360" w:right="360" w:bottom="360" w:left="360" w:header="0" w:footer="0" w:gutter="0"/>
          <w:cols w:space="720"/>
          <w:noEndnote/>
        </w:sectPr>
      </w:pPr>
    </w:p>
    <w:p w:rsidR="008F3651" w:rsidRDefault="008F3651">
      <w:pPr>
        <w:pageBreakBefore/>
        <w:autoSpaceDE w:val="0"/>
        <w:autoSpaceDN w:val="0"/>
        <w:adjustRightInd w:val="0"/>
        <w:spacing w:after="0" w:line="240" w:lineRule="auto"/>
        <w:rPr>
          <w:rFonts w:ascii="Times New Roman" w:hAnsi="Times New Roman"/>
          <w:sz w:val="24"/>
          <w:szCs w:val="24"/>
        </w:rPr>
      </w:pPr>
      <w:r>
        <w:rPr>
          <w:rFonts w:ascii="Times New Roman" w:hAnsi="Times New Roman"/>
          <w:vanish/>
          <w:sz w:val="18"/>
          <w:szCs w:val="18"/>
        </w:rPr>
        <w:t>​</w:t>
      </w:r>
    </w:p>
    <w:p w:rsidR="00EE2917" w:rsidRDefault="00EE2917" w:rsidP="00E25CF2">
      <w:pPr>
        <w:autoSpaceDE w:val="0"/>
        <w:autoSpaceDN w:val="0"/>
        <w:adjustRightInd w:val="0"/>
        <w:spacing w:after="0" w:line="240" w:lineRule="auto"/>
        <w:ind w:left="504" w:right="504"/>
        <w:rPr>
          <w:rFonts w:ascii="Times New Roman" w:hAnsi="Times New Roman"/>
          <w:sz w:val="24"/>
          <w:szCs w:val="24"/>
        </w:rPr>
      </w:pPr>
      <w:r>
        <w:rPr>
          <w:rFonts w:ascii="Times New Roman" w:hAnsi="Times New Roman"/>
          <w:b/>
          <w:bCs/>
          <w:sz w:val="20"/>
          <w:szCs w:val="20"/>
        </w:rPr>
        <w:t>Section 1 - Conflict Minerals Disclosure</w:t>
      </w:r>
      <w:bookmarkStart w:id="5" w:name="BKMK_6"/>
      <w:bookmarkEnd w:id="5"/>
    </w:p>
    <w:p w:rsidR="00EE2917" w:rsidRDefault="00EE2917" w:rsidP="00E25CF2">
      <w:pPr>
        <w:autoSpaceDE w:val="0"/>
        <w:autoSpaceDN w:val="0"/>
        <w:adjustRightInd w:val="0"/>
        <w:spacing w:after="0" w:line="240" w:lineRule="auto"/>
        <w:ind w:left="504" w:right="504"/>
        <w:rPr>
          <w:rFonts w:ascii="Times New Roman" w:hAnsi="Times New Roman"/>
          <w:sz w:val="24"/>
          <w:szCs w:val="24"/>
        </w:rPr>
      </w:pPr>
      <w:r>
        <w:rPr>
          <w:rFonts w:ascii="Times New Roman" w:hAnsi="Times New Roman"/>
          <w:b/>
          <w:bCs/>
          <w:vanish/>
          <w:sz w:val="20"/>
          <w:szCs w:val="20"/>
        </w:rPr>
        <w:t>​</w:t>
      </w:r>
    </w:p>
    <w:p w:rsidR="001548D9" w:rsidRDefault="00EE2917" w:rsidP="001548D9">
      <w:pPr>
        <w:autoSpaceDE w:val="0"/>
        <w:autoSpaceDN w:val="0"/>
        <w:adjustRightInd w:val="0"/>
        <w:spacing w:after="0" w:line="240" w:lineRule="auto"/>
        <w:ind w:left="504" w:right="504"/>
        <w:rPr>
          <w:rFonts w:ascii="Times New Roman" w:hAnsi="Times New Roman"/>
          <w:sz w:val="20"/>
          <w:szCs w:val="20"/>
        </w:rPr>
      </w:pPr>
      <w:r>
        <w:rPr>
          <w:rFonts w:ascii="Times New Roman" w:hAnsi="Times New Roman"/>
          <w:sz w:val="20"/>
          <w:szCs w:val="20"/>
        </w:rPr>
        <w:t>This specialized disclosure report on Form SD of Advanced Energy Industries, Inc. (together with its consolidated subsidiaries, “we,” “us,” “our,” the “Company,” or “AE”) for the reporting period from January 1 to December 31, 202</w:t>
      </w:r>
      <w:r w:rsidR="00F51B5A">
        <w:rPr>
          <w:rFonts w:ascii="Times New Roman" w:hAnsi="Times New Roman"/>
          <w:sz w:val="20"/>
          <w:szCs w:val="20"/>
        </w:rPr>
        <w:t>5</w:t>
      </w:r>
      <w:r>
        <w:rPr>
          <w:rFonts w:ascii="Times New Roman" w:hAnsi="Times New Roman"/>
          <w:sz w:val="20"/>
          <w:szCs w:val="20"/>
        </w:rPr>
        <w:t xml:space="preserve"> (the “Reporting Period”)</w:t>
      </w:r>
      <w:r w:rsidR="001548D9">
        <w:rPr>
          <w:rFonts w:ascii="Times New Roman" w:hAnsi="Times New Roman"/>
          <w:sz w:val="20"/>
          <w:szCs w:val="20"/>
        </w:rPr>
        <w:t>,</w:t>
      </w:r>
      <w:r>
        <w:rPr>
          <w:rFonts w:ascii="Times New Roman" w:hAnsi="Times New Roman"/>
          <w:sz w:val="20"/>
          <w:szCs w:val="20"/>
        </w:rPr>
        <w:t xml:space="preserve"> was prepared in accordance with Rule 13p-1 (“Rule 13p-1”) under the Securities Exchange Act of 1934, as amended (the “Exchange Act”). Please refer to Rule 13p-1, Form SD, and Exchange Act Release No. 34-67716 for definitions of the terms used in this report, unless otherwise defined herein. </w:t>
      </w:r>
    </w:p>
    <w:p w:rsidR="001548D9" w:rsidRDefault="001548D9" w:rsidP="001548D9">
      <w:pPr>
        <w:autoSpaceDE w:val="0"/>
        <w:autoSpaceDN w:val="0"/>
        <w:adjustRightInd w:val="0"/>
        <w:spacing w:after="0" w:line="240" w:lineRule="auto"/>
        <w:ind w:left="504" w:right="504"/>
        <w:rPr>
          <w:rFonts w:ascii="Times New Roman" w:hAnsi="Times New Roman"/>
          <w:sz w:val="20"/>
          <w:szCs w:val="20"/>
        </w:rPr>
      </w:pPr>
    </w:p>
    <w:p w:rsidR="00EE2917" w:rsidRDefault="00EE2917" w:rsidP="001548D9">
      <w:pPr>
        <w:autoSpaceDE w:val="0"/>
        <w:autoSpaceDN w:val="0"/>
        <w:adjustRightInd w:val="0"/>
        <w:spacing w:after="0" w:line="240" w:lineRule="auto"/>
        <w:ind w:left="504" w:right="504"/>
        <w:rPr>
          <w:rFonts w:ascii="Times New Roman" w:hAnsi="Times New Roman"/>
          <w:sz w:val="20"/>
          <w:szCs w:val="20"/>
        </w:rPr>
      </w:pPr>
      <w:r>
        <w:rPr>
          <w:rFonts w:ascii="Times New Roman" w:hAnsi="Times New Roman"/>
          <w:sz w:val="20"/>
          <w:szCs w:val="20"/>
        </w:rPr>
        <w:t xml:space="preserve">As permitted by the Updated Statement on the Effect of the Court of Appeals Decision on the Conflict Minerals Rule issued by the Division of Corporation Finance of the Securities and Exchange Commission </w:t>
      </w:r>
      <w:r w:rsidR="001548D9">
        <w:rPr>
          <w:rFonts w:ascii="Times New Roman" w:hAnsi="Times New Roman"/>
          <w:sz w:val="20"/>
          <w:szCs w:val="20"/>
        </w:rPr>
        <w:t xml:space="preserve">(the “SEC”) </w:t>
      </w:r>
      <w:r>
        <w:rPr>
          <w:rFonts w:ascii="Times New Roman" w:hAnsi="Times New Roman"/>
          <w:sz w:val="20"/>
          <w:szCs w:val="20"/>
        </w:rPr>
        <w:t>on April 7, 2017, we are not filing a Conflict Minerals Report as an exhibit hereto or providing other disclosures under the provisions of paragraph (c) of Item 1.01 of Form SD.</w:t>
      </w:r>
    </w:p>
    <w:p w:rsidR="00EE2917" w:rsidRDefault="00EE2917" w:rsidP="001548D9">
      <w:pPr>
        <w:autoSpaceDE w:val="0"/>
        <w:autoSpaceDN w:val="0"/>
        <w:adjustRightInd w:val="0"/>
        <w:spacing w:after="0" w:line="240" w:lineRule="auto"/>
        <w:ind w:left="504" w:right="504"/>
        <w:rPr>
          <w:rFonts w:ascii="Times New Roman" w:hAnsi="Times New Roman"/>
          <w:sz w:val="20"/>
          <w:szCs w:val="20"/>
        </w:rPr>
      </w:pPr>
    </w:p>
    <w:p w:rsidR="00EE2917" w:rsidRDefault="00EE2917" w:rsidP="001548D9">
      <w:pPr>
        <w:autoSpaceDE w:val="0"/>
        <w:autoSpaceDN w:val="0"/>
        <w:adjustRightInd w:val="0"/>
        <w:spacing w:after="0" w:line="240" w:lineRule="auto"/>
        <w:ind w:left="504" w:right="504"/>
        <w:rPr>
          <w:rFonts w:ascii="Times New Roman" w:hAnsi="Times New Roman"/>
          <w:b/>
          <w:bCs/>
          <w:sz w:val="20"/>
          <w:szCs w:val="20"/>
        </w:rPr>
      </w:pPr>
      <w:r>
        <w:rPr>
          <w:rFonts w:ascii="Times New Roman" w:hAnsi="Times New Roman"/>
          <w:b/>
          <w:bCs/>
          <w:sz w:val="20"/>
          <w:szCs w:val="20"/>
        </w:rPr>
        <w:t>Item 1.01 Conflict Minerals Disclosure and Report</w:t>
      </w:r>
      <w:r>
        <w:rPr>
          <w:rFonts w:ascii="Times New Roman" w:hAnsi="Times New Roman"/>
          <w:vanish/>
          <w:sz w:val="20"/>
          <w:szCs w:val="20"/>
        </w:rPr>
        <w:t>​</w:t>
      </w:r>
    </w:p>
    <w:p w:rsidR="00D42861" w:rsidRPr="00E25CF2" w:rsidRDefault="00D42861" w:rsidP="001548D9">
      <w:pPr>
        <w:autoSpaceDE w:val="0"/>
        <w:autoSpaceDN w:val="0"/>
        <w:adjustRightInd w:val="0"/>
        <w:spacing w:after="0" w:line="240" w:lineRule="auto"/>
        <w:ind w:left="504" w:right="504"/>
        <w:rPr>
          <w:rFonts w:ascii="Times New Roman" w:hAnsi="Times New Roman"/>
          <w:sz w:val="24"/>
          <w:szCs w:val="24"/>
        </w:rPr>
      </w:pPr>
    </w:p>
    <w:p w:rsidR="00D42861" w:rsidRPr="00D42861" w:rsidRDefault="00D42861" w:rsidP="001548D9">
      <w:pPr>
        <w:autoSpaceDE w:val="0"/>
        <w:autoSpaceDN w:val="0"/>
        <w:adjustRightInd w:val="0"/>
        <w:spacing w:after="0" w:line="240" w:lineRule="auto"/>
        <w:ind w:left="504" w:right="504"/>
        <w:rPr>
          <w:rFonts w:ascii="Times New Roman" w:hAnsi="Times New Roman"/>
          <w:sz w:val="20"/>
          <w:szCs w:val="20"/>
          <w:u w:val="single"/>
        </w:rPr>
      </w:pPr>
      <w:r w:rsidRPr="00D42861">
        <w:rPr>
          <w:rFonts w:ascii="Times New Roman" w:hAnsi="Times New Roman"/>
          <w:sz w:val="20"/>
          <w:szCs w:val="20"/>
          <w:u w:val="single"/>
        </w:rPr>
        <w:t>Company Overview</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r w:rsidRPr="00D42861">
        <w:rPr>
          <w:rFonts w:ascii="Times New Roman" w:hAnsi="Times New Roman"/>
          <w:sz w:val="20"/>
          <w:szCs w:val="20"/>
        </w:rPr>
        <w:t xml:space="preserve">AE provides highly engineered, critical, precision power conversion, measurement, and control solutions to our global customers. We design, manufacture, sell, and support precision power products that transform, refine, and modify the raw electrical power coming from either the utility or the building facility and convert it into various types of highly controllable, usable power that is predictable, repeatable, and customizable to meet the necessary requirements for powering a wide range of complex equipment. </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p>
    <w:p w:rsidR="00D42861" w:rsidRPr="00D42861" w:rsidRDefault="00D42861" w:rsidP="001548D9">
      <w:pPr>
        <w:autoSpaceDE w:val="0"/>
        <w:autoSpaceDN w:val="0"/>
        <w:adjustRightInd w:val="0"/>
        <w:spacing w:after="0" w:line="240" w:lineRule="auto"/>
        <w:ind w:left="504" w:right="504"/>
        <w:rPr>
          <w:rFonts w:ascii="Times New Roman" w:hAnsi="Times New Roman"/>
          <w:sz w:val="20"/>
          <w:szCs w:val="20"/>
          <w:u w:val="single"/>
        </w:rPr>
      </w:pPr>
      <w:r w:rsidRPr="00D42861">
        <w:rPr>
          <w:rFonts w:ascii="Times New Roman" w:hAnsi="Times New Roman"/>
          <w:sz w:val="20"/>
          <w:szCs w:val="20"/>
          <w:u w:val="single"/>
        </w:rPr>
        <w:t>Responsible Minerals Sourcing Policy</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r w:rsidRPr="00D42861">
        <w:rPr>
          <w:rFonts w:ascii="Times New Roman" w:hAnsi="Times New Roman"/>
          <w:sz w:val="20"/>
          <w:szCs w:val="20"/>
        </w:rPr>
        <w:t xml:space="preserve">AE is committed to complying with the requirements of Rule 13p-1 and upholding responsible sourcing practices. As such, the Company has put into place a robust due diligence program to ensure its contributions to upholding human rights and responsible practices across the supply chain. </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r w:rsidRPr="00D42861">
        <w:rPr>
          <w:rFonts w:ascii="Times New Roman" w:hAnsi="Times New Roman"/>
          <w:sz w:val="20"/>
          <w:szCs w:val="20"/>
        </w:rPr>
        <w:t xml:space="preserve">The Company's Responsible Minerals Sourcing Policy states our intent to conduct due diligence and supplier risk analysis on direct suppliers of purchased products and/or materials that contain certain conflict minerals to identify high risk suppliers and urge these suppliers to eliminate non-conformant smelters in our supply chain. The policy also encourages our suppliers to establish and follow appropriate due diligence programs and provide us with information regarding the source of conflict minerals in the material they sell to us. Our Responsible Minerals Sourcing Policy is available </w:t>
      </w:r>
      <w:r w:rsidR="00B74A4B">
        <w:rPr>
          <w:rFonts w:ascii="Times New Roman" w:hAnsi="Times New Roman"/>
          <w:sz w:val="20"/>
          <w:szCs w:val="20"/>
        </w:rPr>
        <w:t xml:space="preserve">on the </w:t>
      </w:r>
      <w:r w:rsidR="00844698">
        <w:rPr>
          <w:rFonts w:ascii="Times New Roman" w:hAnsi="Times New Roman"/>
          <w:sz w:val="20"/>
          <w:szCs w:val="20"/>
        </w:rPr>
        <w:t xml:space="preserve">legal/environment-sustainability </w:t>
      </w:r>
      <w:r w:rsidR="00B74A4B">
        <w:rPr>
          <w:rFonts w:ascii="Times New Roman" w:hAnsi="Times New Roman"/>
          <w:sz w:val="20"/>
          <w:szCs w:val="20"/>
        </w:rPr>
        <w:t>section of our website at:</w:t>
      </w:r>
      <w:r w:rsidR="00472075">
        <w:rPr>
          <w:rFonts w:ascii="Times New Roman" w:hAnsi="Times New Roman"/>
          <w:sz w:val="20"/>
          <w:szCs w:val="20"/>
        </w:rPr>
        <w:t xml:space="preserve"> </w:t>
      </w:r>
      <w:r w:rsidR="00AC0EA8" w:rsidRPr="00844698">
        <w:rPr>
          <w:rFonts w:ascii="Times New Roman" w:hAnsi="Times New Roman"/>
          <w:sz w:val="20"/>
          <w:szCs w:val="20"/>
        </w:rPr>
        <w:t>https://www.advancedenergy.com/en-us/legal/environment-sustainability/</w:t>
      </w:r>
      <w:r w:rsidR="00B11191">
        <w:rPr>
          <w:rFonts w:ascii="Times New Roman" w:hAnsi="Times New Roman"/>
          <w:sz w:val="20"/>
          <w:szCs w:val="20"/>
        </w:rPr>
        <w:t xml:space="preserve">. </w:t>
      </w:r>
      <w:r w:rsidRPr="00D42861">
        <w:rPr>
          <w:rFonts w:ascii="Times New Roman" w:hAnsi="Times New Roman"/>
          <w:sz w:val="20"/>
          <w:szCs w:val="20"/>
        </w:rPr>
        <w:t xml:space="preserve">The contents of this site and any other website referred to in this specialized disclosure report on Form SD are not incorporated by reference into, and are not otherwise a part of, this report. </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p>
    <w:p w:rsidR="00D42861" w:rsidRPr="00D42861" w:rsidRDefault="00D42861" w:rsidP="001548D9">
      <w:pPr>
        <w:autoSpaceDE w:val="0"/>
        <w:autoSpaceDN w:val="0"/>
        <w:adjustRightInd w:val="0"/>
        <w:spacing w:after="0" w:line="240" w:lineRule="auto"/>
        <w:ind w:left="504" w:right="504"/>
        <w:rPr>
          <w:rFonts w:ascii="Times New Roman" w:hAnsi="Times New Roman"/>
          <w:b/>
          <w:bCs/>
          <w:sz w:val="20"/>
          <w:szCs w:val="20"/>
        </w:rPr>
      </w:pPr>
      <w:r w:rsidRPr="00D42861">
        <w:rPr>
          <w:rFonts w:ascii="Times New Roman" w:hAnsi="Times New Roman"/>
          <w:b/>
          <w:bCs/>
          <w:sz w:val="20"/>
          <w:szCs w:val="20"/>
        </w:rPr>
        <w:t xml:space="preserve">Conflict Minerals Disclosure </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p>
    <w:p w:rsidR="00D42861" w:rsidRPr="00D42861" w:rsidRDefault="00D42861" w:rsidP="001548D9">
      <w:pPr>
        <w:autoSpaceDE w:val="0"/>
        <w:autoSpaceDN w:val="0"/>
        <w:adjustRightInd w:val="0"/>
        <w:spacing w:after="0" w:line="240" w:lineRule="auto"/>
        <w:ind w:left="504" w:right="504"/>
        <w:rPr>
          <w:rFonts w:ascii="Times New Roman" w:hAnsi="Times New Roman"/>
          <w:sz w:val="20"/>
          <w:szCs w:val="20"/>
          <w:u w:val="single"/>
        </w:rPr>
      </w:pPr>
      <w:r w:rsidRPr="00D42861">
        <w:rPr>
          <w:rFonts w:ascii="Times New Roman" w:hAnsi="Times New Roman"/>
          <w:sz w:val="20"/>
          <w:szCs w:val="20"/>
          <w:u w:val="single"/>
        </w:rPr>
        <w:t>Reasonable Country of Origin Inquiry</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r w:rsidRPr="00D42861">
        <w:rPr>
          <w:rFonts w:ascii="Times New Roman" w:hAnsi="Times New Roman"/>
          <w:sz w:val="20"/>
          <w:szCs w:val="20"/>
        </w:rPr>
        <w:t xml:space="preserve">For the Reporting Period, AE determined that tin, tungsten, tantalum, and/or gold (“3TGs”), which are “conflict minerals” as defined in paragraph (d)(3) of Item 1.01 of Form SD, were necessary to the functionality or production of products manufactured or contracted to be manufactured by AE. As required by Rule 13p-1, the Company designed and conducted a reasonable country of origin inquiry (“RCOI”) intended to determine whether any of the 3TGs in our products originated in the Democratic Republic of Congo or an adjoining country (as defined in paragraph (d)(1) of Item 1.01 of Form SD) (“Covered Countries”). </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r w:rsidRPr="00D42861">
        <w:rPr>
          <w:rFonts w:ascii="Times New Roman" w:hAnsi="Times New Roman"/>
          <w:sz w:val="20"/>
          <w:szCs w:val="20"/>
        </w:rPr>
        <w:t>To implement the RCOI, the Company reviewed its supply chain and surveyed its direct suppliers using the Conflict Minerals Reporting Template, version 6.</w:t>
      </w:r>
      <w:r w:rsidR="00015526">
        <w:rPr>
          <w:rFonts w:ascii="Times New Roman" w:hAnsi="Times New Roman"/>
          <w:sz w:val="20"/>
          <w:szCs w:val="20"/>
        </w:rPr>
        <w:t>5</w:t>
      </w:r>
      <w:r w:rsidRPr="00D42861">
        <w:rPr>
          <w:rFonts w:ascii="Times New Roman" w:hAnsi="Times New Roman"/>
          <w:sz w:val="20"/>
          <w:szCs w:val="20"/>
        </w:rPr>
        <w:t xml:space="preserve"> or higher (“CMRT”) to collect information regarding the presence and sourcing of 3TGs used in the materials and products supplied to the </w:t>
      </w:r>
      <w:r w:rsidRPr="00472075">
        <w:rPr>
          <w:rFonts w:ascii="Times New Roman" w:hAnsi="Times New Roman"/>
          <w:sz w:val="20"/>
          <w:szCs w:val="20"/>
        </w:rPr>
        <w:t xml:space="preserve">Company. In-scope suppliers received an initial communication requesting CMRTs, with non-responsive suppliers receiving weekly follow-up requests after June </w:t>
      </w:r>
      <w:r w:rsidR="00F51B5A">
        <w:rPr>
          <w:rFonts w:ascii="Times New Roman" w:hAnsi="Times New Roman"/>
          <w:sz w:val="20"/>
          <w:szCs w:val="20"/>
        </w:rPr>
        <w:t>5</w:t>
      </w:r>
      <w:r w:rsidRPr="00472075">
        <w:rPr>
          <w:rFonts w:ascii="Times New Roman" w:hAnsi="Times New Roman"/>
          <w:sz w:val="20"/>
          <w:szCs w:val="20"/>
        </w:rPr>
        <w:t>, 202</w:t>
      </w:r>
      <w:r w:rsidR="00F51B5A">
        <w:rPr>
          <w:rFonts w:ascii="Times New Roman" w:hAnsi="Times New Roman"/>
          <w:sz w:val="20"/>
          <w:szCs w:val="20"/>
        </w:rPr>
        <w:t>5</w:t>
      </w:r>
      <w:r w:rsidR="001548D9">
        <w:rPr>
          <w:rFonts w:ascii="Times New Roman" w:hAnsi="Times New Roman"/>
          <w:sz w:val="20"/>
          <w:szCs w:val="20"/>
        </w:rPr>
        <w:t>,</w:t>
      </w:r>
      <w:r w:rsidRPr="00472075">
        <w:rPr>
          <w:rFonts w:ascii="Times New Roman" w:hAnsi="Times New Roman"/>
          <w:sz w:val="20"/>
          <w:szCs w:val="20"/>
        </w:rPr>
        <w:t xml:space="preserve"> until </w:t>
      </w:r>
      <w:r w:rsidR="00472075" w:rsidRPr="00472075">
        <w:rPr>
          <w:rFonts w:ascii="Times New Roman" w:hAnsi="Times New Roman"/>
          <w:sz w:val="20"/>
          <w:szCs w:val="20"/>
        </w:rPr>
        <w:t>March 28, 202</w:t>
      </w:r>
      <w:r w:rsidR="00F51B5A">
        <w:rPr>
          <w:rFonts w:ascii="Times New Roman" w:hAnsi="Times New Roman"/>
          <w:sz w:val="20"/>
          <w:szCs w:val="20"/>
        </w:rPr>
        <w:t>6</w:t>
      </w:r>
      <w:r w:rsidRPr="00472075">
        <w:rPr>
          <w:rFonts w:ascii="Times New Roman" w:hAnsi="Times New Roman"/>
          <w:sz w:val="20"/>
          <w:szCs w:val="20"/>
        </w:rPr>
        <w:t>, the final deadline for suppliers to provide information for the Reporting Period. Suppliers were also contacted regarding invalid or incomplete forms and encouraged to make corrections and submit a valid form</w:t>
      </w:r>
      <w:r w:rsidRPr="00D42861">
        <w:rPr>
          <w:rFonts w:ascii="Times New Roman" w:hAnsi="Times New Roman"/>
          <w:sz w:val="20"/>
          <w:szCs w:val="20"/>
        </w:rPr>
        <w:t>. AE searched non-responsive suppliers’ websites for their CMRT and provided guidance to suppliers on how to correct validation errors via direct engagement and in the form of feedback on their CMRTs. The total response rate for the Reporting Period was 9</w:t>
      </w:r>
      <w:r w:rsidR="00F51B5A">
        <w:rPr>
          <w:rFonts w:ascii="Times New Roman" w:hAnsi="Times New Roman"/>
          <w:sz w:val="20"/>
          <w:szCs w:val="20"/>
        </w:rPr>
        <w:t>6</w:t>
      </w:r>
      <w:r w:rsidRPr="00D42861">
        <w:rPr>
          <w:rFonts w:ascii="Times New Roman" w:hAnsi="Times New Roman"/>
          <w:sz w:val="20"/>
          <w:szCs w:val="20"/>
        </w:rPr>
        <w:t xml:space="preserve">%, with no invalid submissions. This compares to a response rate of </w:t>
      </w:r>
      <w:r w:rsidR="00472075">
        <w:rPr>
          <w:rFonts w:ascii="Times New Roman" w:hAnsi="Times New Roman"/>
          <w:sz w:val="20"/>
          <w:szCs w:val="20"/>
        </w:rPr>
        <w:t>9</w:t>
      </w:r>
      <w:r w:rsidR="00F51B5A">
        <w:rPr>
          <w:rFonts w:ascii="Times New Roman" w:hAnsi="Times New Roman"/>
          <w:sz w:val="20"/>
          <w:szCs w:val="20"/>
        </w:rPr>
        <w:t>3</w:t>
      </w:r>
      <w:r w:rsidRPr="00D42861">
        <w:rPr>
          <w:rFonts w:ascii="Times New Roman" w:hAnsi="Times New Roman"/>
          <w:sz w:val="20"/>
          <w:szCs w:val="20"/>
        </w:rPr>
        <w:t xml:space="preserve">% for the </w:t>
      </w:r>
      <w:r w:rsidR="00472075">
        <w:rPr>
          <w:rFonts w:ascii="Times New Roman" w:hAnsi="Times New Roman"/>
          <w:sz w:val="20"/>
          <w:szCs w:val="20"/>
        </w:rPr>
        <w:t>202</w:t>
      </w:r>
      <w:r w:rsidR="00F51B5A">
        <w:rPr>
          <w:rFonts w:ascii="Times New Roman" w:hAnsi="Times New Roman"/>
          <w:sz w:val="20"/>
          <w:szCs w:val="20"/>
        </w:rPr>
        <w:t>4</w:t>
      </w:r>
      <w:r w:rsidRPr="00D42861">
        <w:rPr>
          <w:rFonts w:ascii="Times New Roman" w:hAnsi="Times New Roman"/>
          <w:sz w:val="20"/>
          <w:szCs w:val="20"/>
        </w:rPr>
        <w:t xml:space="preserve"> reporting year. </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r w:rsidRPr="00D42861">
        <w:rPr>
          <w:rFonts w:ascii="Times New Roman" w:hAnsi="Times New Roman"/>
          <w:sz w:val="20"/>
          <w:szCs w:val="20"/>
        </w:rPr>
        <w:t xml:space="preserve">Based on its RCOI, the Company determined it had insufficient information to conclude either (i) that all of its 3TGs originated outside the Covered Countries or from sources within the Covered Countries deemed “Conformant” by the Responsible Minerals Initiative (“RMI”), or (ii) that all of its 3TGs came from recycled or scrap sources. As a result, AE performed further due diligence on the source and chain of custody of the 3TGs in question. </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p>
    <w:p w:rsidR="00D42861" w:rsidRPr="00D42861" w:rsidRDefault="00D42861" w:rsidP="001548D9">
      <w:pPr>
        <w:autoSpaceDE w:val="0"/>
        <w:autoSpaceDN w:val="0"/>
        <w:adjustRightInd w:val="0"/>
        <w:spacing w:after="0" w:line="240" w:lineRule="auto"/>
        <w:ind w:left="504" w:right="504"/>
        <w:rPr>
          <w:rFonts w:ascii="Times New Roman" w:hAnsi="Times New Roman"/>
          <w:sz w:val="20"/>
          <w:szCs w:val="20"/>
          <w:u w:val="single"/>
        </w:rPr>
      </w:pPr>
      <w:r w:rsidRPr="00D42861">
        <w:rPr>
          <w:rFonts w:ascii="Times New Roman" w:hAnsi="Times New Roman"/>
          <w:sz w:val="20"/>
          <w:szCs w:val="20"/>
          <w:u w:val="single"/>
        </w:rPr>
        <w:t>Due Diligence</w:t>
      </w:r>
    </w:p>
    <w:p w:rsidR="00D42861" w:rsidRDefault="00D42861" w:rsidP="00AC0EA8">
      <w:pPr>
        <w:autoSpaceDE w:val="0"/>
        <w:autoSpaceDN w:val="0"/>
        <w:adjustRightInd w:val="0"/>
        <w:spacing w:after="0" w:line="240" w:lineRule="auto"/>
        <w:ind w:left="504" w:right="504"/>
        <w:rPr>
          <w:rFonts w:ascii="Times New Roman" w:hAnsi="Times New Roman"/>
          <w:sz w:val="20"/>
          <w:szCs w:val="20"/>
        </w:rPr>
      </w:pPr>
      <w:r w:rsidRPr="00D42861">
        <w:rPr>
          <w:rFonts w:ascii="Times New Roman" w:hAnsi="Times New Roman"/>
          <w:sz w:val="20"/>
          <w:szCs w:val="20"/>
        </w:rPr>
        <w:t xml:space="preserve">As a downstream purchaser that does not buy 3TGs directly, but rather materials and/or products which contain 3TGs, the Company does not have a direct contractual relationship with any of entities that may mine 3TGs used in our products and is also several steps removed from the smelters or refiners (“SORs”) of 3TGs. As a result, our due diligence measures can provide only reasonable, not absolute, assurance regarding the source and chain of custody of the 3TGs. Our due diligence processes are based on the necessity of seeking and relying on data from our direct suppliers and those suppliers seeking similar information within their supply chains to identify the original sources of the 3TGs. We also rely, to a large extent, on information collected and provided by responsible mineral sourcing validation programs, as well as on the independent, private-sector audits conducted as part of the RMI’s Responsible Minerals Assurance Process (“RMAP”) on the source (including mines of origin) and chain of custody of the 3TGs processed by participating SORs. Such sources of information may yield inaccurate or incomplete information. </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p>
    <w:p w:rsidR="001548D9" w:rsidRDefault="00D42861" w:rsidP="001548D9">
      <w:pPr>
        <w:autoSpaceDE w:val="0"/>
        <w:autoSpaceDN w:val="0"/>
        <w:adjustRightInd w:val="0"/>
        <w:spacing w:after="0" w:line="240" w:lineRule="auto"/>
        <w:ind w:left="504" w:right="504"/>
        <w:rPr>
          <w:rFonts w:ascii="Times New Roman" w:hAnsi="Times New Roman"/>
          <w:sz w:val="20"/>
          <w:szCs w:val="20"/>
        </w:rPr>
      </w:pPr>
      <w:r w:rsidRPr="00D42861">
        <w:rPr>
          <w:rFonts w:ascii="Times New Roman" w:hAnsi="Times New Roman"/>
          <w:sz w:val="20"/>
          <w:szCs w:val="20"/>
        </w:rPr>
        <w:t xml:space="preserve">The Company utilizes internal resources within its supply chain organization in collaboration with its materials compliance manager to lead the due diligence efforts and identify the upstream sources of 3TGs. Based on the list of SORs maintained by the RMI, the CMRTs and the RCOI responses received from its suppliers, the Company identified a total of </w:t>
      </w:r>
      <w:r w:rsidR="00472075">
        <w:rPr>
          <w:rFonts w:ascii="Times New Roman" w:hAnsi="Times New Roman"/>
          <w:sz w:val="20"/>
          <w:szCs w:val="20"/>
        </w:rPr>
        <w:t>22</w:t>
      </w:r>
      <w:r w:rsidR="00F51B5A">
        <w:rPr>
          <w:rFonts w:ascii="Times New Roman" w:hAnsi="Times New Roman"/>
          <w:sz w:val="20"/>
          <w:szCs w:val="20"/>
        </w:rPr>
        <w:t>5</w:t>
      </w:r>
      <w:r w:rsidRPr="00D42861">
        <w:rPr>
          <w:rFonts w:ascii="Times New Roman" w:hAnsi="Times New Roman"/>
          <w:sz w:val="20"/>
          <w:szCs w:val="20"/>
        </w:rPr>
        <w:t xml:space="preserve"> SORs that may be in its supply chain. These SORs were compared to the RMAP list of audited SORs. Of the 2</w:t>
      </w:r>
      <w:r w:rsidR="00F51B5A">
        <w:rPr>
          <w:rFonts w:ascii="Times New Roman" w:hAnsi="Times New Roman"/>
          <w:sz w:val="20"/>
          <w:szCs w:val="20"/>
        </w:rPr>
        <w:t>25</w:t>
      </w:r>
      <w:r w:rsidRPr="00D42861">
        <w:rPr>
          <w:rFonts w:ascii="Times New Roman" w:hAnsi="Times New Roman"/>
          <w:sz w:val="20"/>
          <w:szCs w:val="20"/>
        </w:rPr>
        <w:t xml:space="preserve"> SORs identified as potentially in the Company’s supply chain, </w:t>
      </w:r>
      <w:r w:rsidR="00472075">
        <w:rPr>
          <w:rFonts w:ascii="Times New Roman" w:hAnsi="Times New Roman"/>
          <w:sz w:val="20"/>
          <w:szCs w:val="20"/>
        </w:rPr>
        <w:t>9</w:t>
      </w:r>
      <w:r w:rsidR="00F51B5A">
        <w:rPr>
          <w:rFonts w:ascii="Times New Roman" w:hAnsi="Times New Roman"/>
          <w:sz w:val="20"/>
          <w:szCs w:val="20"/>
        </w:rPr>
        <w:t>6</w:t>
      </w:r>
      <w:r w:rsidRPr="00D42861">
        <w:rPr>
          <w:rFonts w:ascii="Times New Roman" w:hAnsi="Times New Roman"/>
          <w:sz w:val="20"/>
          <w:szCs w:val="20"/>
        </w:rPr>
        <w:t xml:space="preserve">% are RMAP conformant; however, for the significant majority of SORs reported by the Company’s suppliers, there is inadequate information available to assess the source of the 3TGs they process. </w:t>
      </w:r>
    </w:p>
    <w:p w:rsidR="001548D9" w:rsidRDefault="001548D9" w:rsidP="001548D9">
      <w:pPr>
        <w:autoSpaceDE w:val="0"/>
        <w:autoSpaceDN w:val="0"/>
        <w:adjustRightInd w:val="0"/>
        <w:spacing w:after="0" w:line="240" w:lineRule="auto"/>
        <w:ind w:left="504" w:right="504"/>
        <w:rPr>
          <w:rFonts w:ascii="Times New Roman" w:hAnsi="Times New Roman"/>
          <w:sz w:val="20"/>
          <w:szCs w:val="20"/>
        </w:rPr>
      </w:pP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r w:rsidRPr="00D42861">
        <w:rPr>
          <w:rFonts w:ascii="Times New Roman" w:hAnsi="Times New Roman"/>
          <w:sz w:val="20"/>
          <w:szCs w:val="20"/>
        </w:rPr>
        <w:t xml:space="preserve">Therefore, AE concluded in good faith that it lacks sufficient information to trace the source and chain of custody of any 3TGs contained in its products up through the supply chain to a specific SOR or, in turn, to a country or mine of origin. </w:t>
      </w:r>
    </w:p>
    <w:p w:rsidR="00D42861" w:rsidRDefault="00D42861" w:rsidP="001548D9">
      <w:pPr>
        <w:autoSpaceDE w:val="0"/>
        <w:autoSpaceDN w:val="0"/>
        <w:adjustRightInd w:val="0"/>
        <w:spacing w:after="0" w:line="240" w:lineRule="auto"/>
        <w:ind w:left="504" w:right="504"/>
        <w:rPr>
          <w:rFonts w:ascii="Times New Roman" w:hAnsi="Times New Roman"/>
          <w:sz w:val="20"/>
          <w:szCs w:val="20"/>
        </w:rPr>
      </w:pPr>
    </w:p>
    <w:p w:rsidR="00D42861" w:rsidRPr="00D42861" w:rsidRDefault="00D42861" w:rsidP="001548D9">
      <w:pPr>
        <w:autoSpaceDE w:val="0"/>
        <w:autoSpaceDN w:val="0"/>
        <w:adjustRightInd w:val="0"/>
        <w:spacing w:after="0" w:line="240" w:lineRule="auto"/>
        <w:ind w:left="504" w:right="504"/>
        <w:rPr>
          <w:rFonts w:ascii="Times New Roman" w:hAnsi="Times New Roman"/>
          <w:sz w:val="20"/>
          <w:szCs w:val="20"/>
          <w:u w:val="single"/>
        </w:rPr>
      </w:pPr>
      <w:r w:rsidRPr="00D42861">
        <w:rPr>
          <w:rFonts w:ascii="Times New Roman" w:hAnsi="Times New Roman"/>
          <w:sz w:val="20"/>
          <w:szCs w:val="20"/>
          <w:u w:val="single"/>
        </w:rPr>
        <w:t>Additional Information</w:t>
      </w:r>
    </w:p>
    <w:p w:rsidR="00EA4654" w:rsidRDefault="00D42861" w:rsidP="001548D9">
      <w:pPr>
        <w:autoSpaceDE w:val="0"/>
        <w:autoSpaceDN w:val="0"/>
        <w:adjustRightInd w:val="0"/>
        <w:spacing w:after="0" w:line="240" w:lineRule="auto"/>
        <w:ind w:left="504" w:right="504"/>
        <w:rPr>
          <w:rFonts w:ascii="Times New Roman" w:hAnsi="Times New Roman"/>
          <w:sz w:val="20"/>
          <w:szCs w:val="20"/>
        </w:rPr>
      </w:pPr>
      <w:r w:rsidRPr="00D42861">
        <w:rPr>
          <w:rFonts w:ascii="Times New Roman" w:hAnsi="Times New Roman"/>
          <w:sz w:val="20"/>
          <w:szCs w:val="20"/>
        </w:rPr>
        <w:t xml:space="preserve">A copy of this specialized disclosure report on Form SD is publicly available </w:t>
      </w:r>
      <w:r w:rsidR="00B74A4B">
        <w:rPr>
          <w:rFonts w:ascii="Times New Roman" w:hAnsi="Times New Roman"/>
          <w:sz w:val="20"/>
          <w:szCs w:val="20"/>
        </w:rPr>
        <w:t xml:space="preserve">on the </w:t>
      </w:r>
      <w:r w:rsidR="00844698">
        <w:rPr>
          <w:rFonts w:ascii="Times New Roman" w:hAnsi="Times New Roman"/>
          <w:sz w:val="20"/>
          <w:szCs w:val="20"/>
        </w:rPr>
        <w:t>legal/environment-sustainability section</w:t>
      </w:r>
      <w:r w:rsidR="00B74A4B">
        <w:rPr>
          <w:rFonts w:ascii="Times New Roman" w:hAnsi="Times New Roman"/>
          <w:sz w:val="20"/>
          <w:szCs w:val="20"/>
        </w:rPr>
        <w:t xml:space="preserve"> of our website at</w:t>
      </w:r>
      <w:r>
        <w:rPr>
          <w:rFonts w:ascii="Times New Roman" w:hAnsi="Times New Roman"/>
          <w:sz w:val="20"/>
          <w:szCs w:val="20"/>
        </w:rPr>
        <w:t>:</w:t>
      </w:r>
      <w:r w:rsidR="001548D9">
        <w:rPr>
          <w:rFonts w:ascii="Times New Roman" w:hAnsi="Times New Roman"/>
          <w:sz w:val="20"/>
          <w:szCs w:val="20"/>
        </w:rPr>
        <w:t xml:space="preserve"> </w:t>
      </w:r>
      <w:r w:rsidR="001548D9" w:rsidRPr="001548D9">
        <w:rPr>
          <w:rFonts w:ascii="Times New Roman" w:hAnsi="Times New Roman"/>
          <w:sz w:val="20"/>
          <w:szCs w:val="20"/>
        </w:rPr>
        <w:t>https://www.advancedenergy.com/en-us/legal/environment-sustainability/</w:t>
      </w:r>
    </w:p>
    <w:p w:rsidR="001548D9" w:rsidRDefault="001548D9" w:rsidP="001548D9">
      <w:pPr>
        <w:autoSpaceDE w:val="0"/>
        <w:autoSpaceDN w:val="0"/>
        <w:adjustRightInd w:val="0"/>
        <w:spacing w:after="0" w:line="240" w:lineRule="auto"/>
        <w:ind w:left="504" w:right="504"/>
        <w:rPr>
          <w:rFonts w:ascii="Times New Roman" w:hAnsi="Times New Roman"/>
          <w:sz w:val="20"/>
          <w:szCs w:val="20"/>
        </w:rPr>
      </w:pPr>
    </w:p>
    <w:p w:rsidR="001548D9" w:rsidRDefault="001548D9" w:rsidP="001548D9">
      <w:pPr>
        <w:autoSpaceDE w:val="0"/>
        <w:autoSpaceDN w:val="0"/>
        <w:adjustRightInd w:val="0"/>
        <w:spacing w:after="0" w:line="240" w:lineRule="auto"/>
        <w:ind w:left="504" w:right="504"/>
        <w:rPr>
          <w:rFonts w:ascii="Times New Roman" w:hAnsi="Times New Roman"/>
          <w:sz w:val="20"/>
          <w:szCs w:val="20"/>
        </w:rPr>
      </w:pPr>
      <w:r>
        <w:rPr>
          <w:rFonts w:ascii="Times New Roman" w:hAnsi="Times New Roman"/>
          <w:sz w:val="20"/>
          <w:szCs w:val="20"/>
          <w:u w:val="single"/>
        </w:rPr>
        <w:t>Forward-Looking Statement Disclaimer</w:t>
      </w:r>
    </w:p>
    <w:p w:rsidR="001548D9" w:rsidRPr="00EA4654" w:rsidRDefault="001548D9" w:rsidP="001548D9">
      <w:pPr>
        <w:autoSpaceDE w:val="0"/>
        <w:autoSpaceDN w:val="0"/>
        <w:adjustRightInd w:val="0"/>
        <w:spacing w:after="0" w:line="240" w:lineRule="auto"/>
        <w:ind w:left="504" w:right="504"/>
        <w:rPr>
          <w:rFonts w:ascii="Times New Roman" w:hAnsi="Times New Roman"/>
          <w:sz w:val="20"/>
          <w:szCs w:val="20"/>
        </w:rPr>
      </w:pPr>
      <w:r>
        <w:rPr>
          <w:rFonts w:ascii="Times New Roman" w:hAnsi="Times New Roman"/>
          <w:sz w:val="20"/>
          <w:szCs w:val="20"/>
        </w:rPr>
        <w:t>This report includes forward-looking statements, including statements regarding our due diligence measures and our conclusions that we lack sufficient information to trace the source and chain of custody of any 3TGs contained in our products. These statements and their underlying assumptions are subject to known and unknown risks and uncertainties that could cause actual results to differ materially from current expectations, including but not limited to: changes in our supply chain, components and parts, or products; industry developments relating to supply chain diligence, disclosure and other practices; and other risks described in our Annual Report on Form 10-K for the year ended December 31, 202</w:t>
      </w:r>
      <w:r w:rsidR="00F51B5A">
        <w:rPr>
          <w:rFonts w:ascii="Times New Roman" w:hAnsi="Times New Roman"/>
          <w:sz w:val="20"/>
          <w:szCs w:val="20"/>
        </w:rPr>
        <w:t>5</w:t>
      </w:r>
      <w:r>
        <w:rPr>
          <w:rFonts w:ascii="Times New Roman" w:hAnsi="Times New Roman"/>
          <w:sz w:val="20"/>
          <w:szCs w:val="20"/>
        </w:rPr>
        <w:t>, and other filings with the SEC. Forward-looking statements are based on estimates, projections and assumptions as of the date of this report, and AE undertakes no obligation to update any such statements</w:t>
      </w:r>
      <w:r w:rsidR="00F51B5A">
        <w:rPr>
          <w:rFonts w:ascii="Times New Roman" w:hAnsi="Times New Roman"/>
          <w:sz w:val="20"/>
          <w:szCs w:val="20"/>
        </w:rPr>
        <w:t xml:space="preserve"> or provide the reasons why our actual results might differ</w:t>
      </w:r>
      <w:r>
        <w:rPr>
          <w:rFonts w:ascii="Times New Roman" w:hAnsi="Times New Roman"/>
          <w:sz w:val="20"/>
          <w:szCs w:val="20"/>
        </w:rPr>
        <w:t>.</w:t>
      </w:r>
    </w:p>
    <w:p w:rsidR="00472075" w:rsidRDefault="00472075" w:rsidP="001548D9">
      <w:pPr>
        <w:autoSpaceDE w:val="0"/>
        <w:autoSpaceDN w:val="0"/>
        <w:adjustRightInd w:val="0"/>
        <w:spacing w:after="0" w:line="240" w:lineRule="auto"/>
        <w:ind w:left="504" w:right="504"/>
        <w:rPr>
          <w:rFonts w:ascii="Times New Roman" w:hAnsi="Times New Roman"/>
          <w:b/>
          <w:bCs/>
          <w:sz w:val="20"/>
          <w:szCs w:val="20"/>
        </w:rPr>
      </w:pPr>
    </w:p>
    <w:p w:rsidR="00EE2917" w:rsidRDefault="00EE2917" w:rsidP="001548D9">
      <w:pPr>
        <w:autoSpaceDE w:val="0"/>
        <w:autoSpaceDN w:val="0"/>
        <w:adjustRightInd w:val="0"/>
        <w:spacing w:after="0" w:line="240" w:lineRule="auto"/>
        <w:ind w:left="504" w:right="504"/>
        <w:rPr>
          <w:rFonts w:ascii="Times New Roman" w:hAnsi="Times New Roman"/>
          <w:sz w:val="24"/>
          <w:szCs w:val="24"/>
        </w:rPr>
      </w:pPr>
      <w:r>
        <w:rPr>
          <w:rFonts w:ascii="Times New Roman" w:hAnsi="Times New Roman"/>
          <w:b/>
          <w:bCs/>
          <w:sz w:val="20"/>
          <w:szCs w:val="20"/>
        </w:rPr>
        <w:t>Item 1.02 Exhibit</w:t>
      </w:r>
      <w:bookmarkStart w:id="6" w:name="BKMK_7"/>
      <w:bookmarkEnd w:id="6"/>
      <w:r>
        <w:rPr>
          <w:rFonts w:ascii="Times New Roman" w:hAnsi="Times New Roman"/>
          <w:vanish/>
          <w:sz w:val="20"/>
          <w:szCs w:val="20"/>
        </w:rPr>
        <w:t>​</w:t>
      </w:r>
    </w:p>
    <w:p w:rsidR="00D42861" w:rsidRDefault="00D42861" w:rsidP="001548D9">
      <w:pPr>
        <w:widowControl w:val="0"/>
        <w:autoSpaceDE w:val="0"/>
        <w:autoSpaceDN w:val="0"/>
        <w:adjustRightInd w:val="0"/>
        <w:spacing w:after="0" w:line="240" w:lineRule="auto"/>
        <w:ind w:left="504" w:right="504"/>
        <w:rPr>
          <w:rFonts w:ascii="Times New Roman" w:hAnsi="Times New Roman"/>
          <w:bCs/>
          <w:sz w:val="20"/>
          <w:szCs w:val="20"/>
        </w:rPr>
      </w:pPr>
      <w:r>
        <w:rPr>
          <w:rFonts w:ascii="Times New Roman" w:hAnsi="Times New Roman"/>
          <w:bCs/>
          <w:sz w:val="20"/>
          <w:szCs w:val="20"/>
        </w:rPr>
        <w:t>Not applicable.</w:t>
      </w:r>
    </w:p>
    <w:p w:rsidR="00EE2917" w:rsidRDefault="00EE2917" w:rsidP="001548D9">
      <w:pPr>
        <w:autoSpaceDE w:val="0"/>
        <w:autoSpaceDN w:val="0"/>
        <w:adjustRightInd w:val="0"/>
        <w:spacing w:after="0" w:line="240" w:lineRule="auto"/>
        <w:ind w:left="504" w:right="504"/>
        <w:rPr>
          <w:rFonts w:ascii="Times New Roman" w:hAnsi="Times New Roman"/>
          <w:b/>
          <w:bCs/>
          <w:sz w:val="20"/>
          <w:szCs w:val="20"/>
        </w:rPr>
      </w:pPr>
    </w:p>
    <w:p w:rsidR="00EE2917" w:rsidRDefault="00EE2917" w:rsidP="001548D9">
      <w:pPr>
        <w:autoSpaceDE w:val="0"/>
        <w:autoSpaceDN w:val="0"/>
        <w:adjustRightInd w:val="0"/>
        <w:spacing w:after="0" w:line="240" w:lineRule="auto"/>
        <w:ind w:left="504" w:right="504"/>
        <w:rPr>
          <w:rFonts w:ascii="Times New Roman" w:hAnsi="Times New Roman"/>
          <w:b/>
          <w:bCs/>
          <w:sz w:val="20"/>
          <w:szCs w:val="20"/>
        </w:rPr>
      </w:pPr>
      <w:r>
        <w:rPr>
          <w:rFonts w:ascii="Times New Roman" w:hAnsi="Times New Roman"/>
          <w:b/>
          <w:bCs/>
          <w:sz w:val="20"/>
          <w:szCs w:val="20"/>
        </w:rPr>
        <w:t>Section 2 - Resource Extraction Issuer Disclosure</w:t>
      </w:r>
    </w:p>
    <w:p w:rsidR="00EE2917" w:rsidRDefault="00EE2917" w:rsidP="001548D9">
      <w:pPr>
        <w:autoSpaceDE w:val="0"/>
        <w:autoSpaceDN w:val="0"/>
        <w:adjustRightInd w:val="0"/>
        <w:spacing w:after="0" w:line="240" w:lineRule="auto"/>
        <w:ind w:left="504" w:right="504"/>
        <w:rPr>
          <w:rFonts w:ascii="Times New Roman" w:hAnsi="Times New Roman"/>
          <w:b/>
          <w:bCs/>
          <w:sz w:val="20"/>
          <w:szCs w:val="20"/>
        </w:rPr>
      </w:pPr>
    </w:p>
    <w:p w:rsidR="00EE2917" w:rsidRDefault="00EE2917" w:rsidP="001548D9">
      <w:pPr>
        <w:autoSpaceDE w:val="0"/>
        <w:autoSpaceDN w:val="0"/>
        <w:adjustRightInd w:val="0"/>
        <w:spacing w:after="0" w:line="240" w:lineRule="auto"/>
        <w:ind w:left="504" w:right="504"/>
        <w:rPr>
          <w:rFonts w:ascii="Times New Roman" w:hAnsi="Times New Roman"/>
          <w:b/>
          <w:bCs/>
          <w:sz w:val="20"/>
          <w:szCs w:val="20"/>
        </w:rPr>
      </w:pPr>
      <w:r>
        <w:rPr>
          <w:rFonts w:ascii="Times New Roman" w:hAnsi="Times New Roman"/>
          <w:b/>
          <w:bCs/>
          <w:sz w:val="20"/>
          <w:szCs w:val="20"/>
        </w:rPr>
        <w:t>Item 2.01 Resource Extraction Issuer Disclosure and Report</w:t>
      </w:r>
    </w:p>
    <w:p w:rsidR="00EE2917" w:rsidRDefault="00EE2917" w:rsidP="001548D9">
      <w:pPr>
        <w:widowControl w:val="0"/>
        <w:autoSpaceDE w:val="0"/>
        <w:autoSpaceDN w:val="0"/>
        <w:adjustRightInd w:val="0"/>
        <w:spacing w:after="0" w:line="240" w:lineRule="auto"/>
        <w:ind w:left="504" w:right="504"/>
        <w:rPr>
          <w:rFonts w:ascii="Times New Roman" w:hAnsi="Times New Roman"/>
          <w:bCs/>
          <w:sz w:val="20"/>
          <w:szCs w:val="20"/>
        </w:rPr>
      </w:pPr>
      <w:r>
        <w:rPr>
          <w:rFonts w:ascii="Times New Roman" w:hAnsi="Times New Roman"/>
          <w:bCs/>
          <w:sz w:val="20"/>
          <w:szCs w:val="20"/>
        </w:rPr>
        <w:t>Not applicable.</w:t>
      </w:r>
    </w:p>
    <w:p w:rsidR="00EE2917" w:rsidRDefault="00EE2917" w:rsidP="001548D9">
      <w:pPr>
        <w:widowControl w:val="0"/>
        <w:autoSpaceDE w:val="0"/>
        <w:autoSpaceDN w:val="0"/>
        <w:adjustRightInd w:val="0"/>
        <w:spacing w:after="0" w:line="240" w:lineRule="auto"/>
        <w:ind w:left="504" w:right="504"/>
        <w:rPr>
          <w:rFonts w:ascii="Times New Roman" w:hAnsi="Times New Roman"/>
          <w:b/>
          <w:bCs/>
          <w:sz w:val="20"/>
          <w:szCs w:val="20"/>
        </w:rPr>
      </w:pPr>
    </w:p>
    <w:p w:rsidR="00EE2917" w:rsidRDefault="00EE2917" w:rsidP="001548D9">
      <w:pPr>
        <w:widowControl w:val="0"/>
        <w:autoSpaceDE w:val="0"/>
        <w:autoSpaceDN w:val="0"/>
        <w:adjustRightInd w:val="0"/>
        <w:spacing w:after="0" w:line="240" w:lineRule="auto"/>
        <w:ind w:left="504" w:right="504"/>
        <w:rPr>
          <w:rFonts w:ascii="Times New Roman" w:hAnsi="Times New Roman"/>
          <w:sz w:val="24"/>
          <w:szCs w:val="24"/>
        </w:rPr>
      </w:pPr>
      <w:r>
        <w:rPr>
          <w:rFonts w:ascii="Times New Roman" w:hAnsi="Times New Roman"/>
          <w:b/>
          <w:bCs/>
          <w:sz w:val="20"/>
          <w:szCs w:val="20"/>
        </w:rPr>
        <w:t>Section 3 - Exhibits</w:t>
      </w:r>
      <w:bookmarkStart w:id="7" w:name="BKMK_8"/>
      <w:bookmarkEnd w:id="7"/>
    </w:p>
    <w:p w:rsidR="00EE2917" w:rsidRDefault="00EE2917" w:rsidP="001548D9">
      <w:pPr>
        <w:widowControl w:val="0"/>
        <w:autoSpaceDE w:val="0"/>
        <w:autoSpaceDN w:val="0"/>
        <w:adjustRightInd w:val="0"/>
        <w:spacing w:after="0" w:line="240" w:lineRule="auto"/>
        <w:ind w:left="504" w:right="504"/>
        <w:rPr>
          <w:rFonts w:ascii="Times New Roman" w:hAnsi="Times New Roman"/>
          <w:sz w:val="24"/>
          <w:szCs w:val="24"/>
        </w:rPr>
      </w:pPr>
      <w:r>
        <w:rPr>
          <w:rFonts w:ascii="Times New Roman" w:hAnsi="Times New Roman"/>
          <w:b/>
          <w:bCs/>
          <w:vanish/>
          <w:sz w:val="20"/>
          <w:szCs w:val="20"/>
        </w:rPr>
        <w:t>​</w:t>
      </w:r>
    </w:p>
    <w:p w:rsidR="00EE2917" w:rsidRPr="00EE2917" w:rsidRDefault="00EE2917" w:rsidP="001548D9">
      <w:pPr>
        <w:widowControl w:val="0"/>
        <w:autoSpaceDE w:val="0"/>
        <w:autoSpaceDN w:val="0"/>
        <w:adjustRightInd w:val="0"/>
        <w:spacing w:after="0" w:line="240" w:lineRule="auto"/>
        <w:ind w:left="504" w:right="504"/>
        <w:rPr>
          <w:rFonts w:ascii="Times New Roman" w:hAnsi="Times New Roman"/>
          <w:sz w:val="24"/>
          <w:szCs w:val="24"/>
        </w:rPr>
      </w:pPr>
      <w:r>
        <w:rPr>
          <w:rFonts w:ascii="Times New Roman" w:hAnsi="Times New Roman"/>
          <w:b/>
          <w:bCs/>
          <w:sz w:val="20"/>
          <w:szCs w:val="20"/>
        </w:rPr>
        <w:t>Item 3.01 Exhibits</w:t>
      </w:r>
      <w:r>
        <w:rPr>
          <w:rFonts w:ascii="Times New Roman" w:hAnsi="Times New Roman"/>
          <w:b/>
          <w:bCs/>
          <w:vanish/>
          <w:sz w:val="20"/>
          <w:szCs w:val="20"/>
        </w:rPr>
        <w:t>​</w:t>
      </w:r>
    </w:p>
    <w:p w:rsidR="00D42861" w:rsidRDefault="00D42861" w:rsidP="001548D9">
      <w:pPr>
        <w:widowControl w:val="0"/>
        <w:autoSpaceDE w:val="0"/>
        <w:autoSpaceDN w:val="0"/>
        <w:adjustRightInd w:val="0"/>
        <w:spacing w:after="0" w:line="240" w:lineRule="auto"/>
        <w:ind w:left="504" w:right="504"/>
        <w:rPr>
          <w:rFonts w:ascii="Times New Roman" w:hAnsi="Times New Roman"/>
          <w:bCs/>
          <w:sz w:val="20"/>
          <w:szCs w:val="20"/>
        </w:rPr>
      </w:pPr>
      <w:r>
        <w:rPr>
          <w:rFonts w:ascii="Times New Roman" w:hAnsi="Times New Roman"/>
          <w:bCs/>
          <w:sz w:val="20"/>
          <w:szCs w:val="20"/>
        </w:rPr>
        <w:t>Not applicable.</w:t>
      </w:r>
    </w:p>
    <w:p w:rsidR="00EE2917" w:rsidRDefault="00EE2917" w:rsidP="001548D9">
      <w:pPr>
        <w:widowControl w:val="0"/>
        <w:autoSpaceDE w:val="0"/>
        <w:autoSpaceDN w:val="0"/>
        <w:adjustRightInd w:val="0"/>
        <w:spacing w:after="0" w:line="240" w:lineRule="auto"/>
        <w:rPr>
          <w:rFonts w:ascii="Times New Roman" w:hAnsi="Times New Roman"/>
          <w:sz w:val="20"/>
          <w:szCs w:val="20"/>
        </w:rPr>
      </w:pPr>
    </w:p>
    <w:p w:rsidR="00EE2917" w:rsidRDefault="00EE2917" w:rsidP="00D42861">
      <w:pPr>
        <w:shd w:val="clear" w:color="auto" w:fill="000000"/>
        <w:autoSpaceDE w:val="0"/>
        <w:autoSpaceDN w:val="0"/>
        <w:adjustRightInd w:val="0"/>
        <w:spacing w:before="540" w:after="0" w:line="36" w:lineRule="exact"/>
        <w:ind w:left="504" w:right="504"/>
        <w:rPr>
          <w:rFonts w:ascii="Times New Roman" w:hAnsi="Times New Roman"/>
          <w:sz w:val="24"/>
          <w:szCs w:val="24"/>
        </w:rPr>
      </w:pPr>
    </w:p>
    <w:p w:rsidR="00EE2917" w:rsidRDefault="00EE2917" w:rsidP="00EE291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8F3651" w:rsidRDefault="008F3651">
      <w:pPr>
        <w:pageBreakBefore/>
        <w:autoSpaceDE w:val="0"/>
        <w:autoSpaceDN w:val="0"/>
        <w:adjustRightInd w:val="0"/>
        <w:spacing w:after="0" w:line="240" w:lineRule="auto"/>
        <w:rPr>
          <w:rFonts w:ascii="Times New Roman" w:hAnsi="Times New Roman"/>
          <w:sz w:val="24"/>
          <w:szCs w:val="24"/>
        </w:rPr>
      </w:pPr>
      <w:r>
        <w:rPr>
          <w:rFonts w:ascii="Times New Roman" w:hAnsi="Times New Roman"/>
          <w:vanish/>
          <w:sz w:val="18"/>
          <w:szCs w:val="18"/>
        </w:rPr>
        <w:t>​</w:t>
      </w:r>
    </w:p>
    <w:p w:rsidR="008F3651" w:rsidRPr="00EE2917" w:rsidRDefault="008F3651" w:rsidP="00EE2917">
      <w:pPr>
        <w:autoSpaceDE w:val="0"/>
        <w:autoSpaceDN w:val="0"/>
        <w:adjustRightInd w:val="0"/>
        <w:spacing w:after="0" w:line="240" w:lineRule="auto"/>
        <w:ind w:right="941"/>
        <w:jc w:val="center"/>
        <w:rPr>
          <w:rFonts w:ascii="Times New Roman" w:hAnsi="Times New Roman"/>
          <w:sz w:val="20"/>
          <w:szCs w:val="20"/>
        </w:rPr>
      </w:pPr>
      <w:r w:rsidRPr="00EE2917">
        <w:rPr>
          <w:rFonts w:ascii="Times New Roman" w:hAnsi="Times New Roman"/>
          <w:b/>
          <w:bCs/>
          <w:sz w:val="20"/>
          <w:szCs w:val="20"/>
        </w:rPr>
        <w:t>SIGNATURES</w:t>
      </w:r>
      <w:bookmarkStart w:id="8" w:name="BKMK_10"/>
      <w:bookmarkEnd w:id="8"/>
    </w:p>
    <w:p w:rsidR="008F3651" w:rsidRPr="00EE2917" w:rsidRDefault="008F3651" w:rsidP="00EE2917">
      <w:pPr>
        <w:autoSpaceDE w:val="0"/>
        <w:autoSpaceDN w:val="0"/>
        <w:adjustRightInd w:val="0"/>
        <w:spacing w:after="0" w:line="240" w:lineRule="auto"/>
        <w:ind w:left="941" w:right="941"/>
        <w:jc w:val="center"/>
        <w:rPr>
          <w:rFonts w:ascii="Times New Roman" w:hAnsi="Times New Roman"/>
          <w:sz w:val="20"/>
          <w:szCs w:val="20"/>
        </w:rPr>
      </w:pPr>
      <w:r w:rsidRPr="00EE2917">
        <w:rPr>
          <w:rFonts w:ascii="Times New Roman" w:hAnsi="Times New Roman"/>
          <w:vanish/>
          <w:sz w:val="20"/>
          <w:szCs w:val="20"/>
        </w:rPr>
        <w:t>​</w:t>
      </w:r>
    </w:p>
    <w:p w:rsidR="008F3651" w:rsidRPr="00EE2917" w:rsidRDefault="008F3651" w:rsidP="001548D9">
      <w:pPr>
        <w:autoSpaceDE w:val="0"/>
        <w:autoSpaceDN w:val="0"/>
        <w:adjustRightInd w:val="0"/>
        <w:spacing w:after="0" w:line="240" w:lineRule="auto"/>
        <w:ind w:left="941" w:right="941"/>
        <w:rPr>
          <w:rFonts w:ascii="Times New Roman" w:hAnsi="Times New Roman"/>
          <w:sz w:val="20"/>
          <w:szCs w:val="20"/>
        </w:rPr>
      </w:pPr>
      <w:r w:rsidRPr="00EE2917">
        <w:rPr>
          <w:rFonts w:ascii="Times New Roman" w:hAnsi="Times New Roman"/>
          <w:sz w:val="20"/>
          <w:szCs w:val="20"/>
        </w:rPr>
        <w:t>Pursuant to the requirements of the Securities Exchange Act of 1934, the registrant has duly caused this report to be signed on its behalf by the undersigned hereunto duly authorized.</w:t>
      </w:r>
    </w:p>
    <w:p w:rsidR="008F3651" w:rsidRPr="00EE2917" w:rsidRDefault="008F3651" w:rsidP="001548D9">
      <w:pPr>
        <w:autoSpaceDE w:val="0"/>
        <w:autoSpaceDN w:val="0"/>
        <w:adjustRightInd w:val="0"/>
        <w:spacing w:after="0" w:line="240" w:lineRule="auto"/>
        <w:ind w:left="941" w:right="941"/>
        <w:rPr>
          <w:rFonts w:ascii="Times New Roman" w:hAnsi="Times New Roman"/>
          <w:sz w:val="20"/>
          <w:szCs w:val="20"/>
        </w:rPr>
      </w:pPr>
      <w:r w:rsidRPr="00EE2917">
        <w:rPr>
          <w:rFonts w:ascii="Times New Roman" w:hAnsi="Times New Roman"/>
          <w:vanish/>
          <w:sz w:val="20"/>
          <w:szCs w:val="20"/>
        </w:rPr>
        <w:t>​</w:t>
      </w:r>
    </w:p>
    <w:p w:rsidR="008F3651" w:rsidRPr="00EE2917" w:rsidRDefault="008F3651">
      <w:pPr>
        <w:autoSpaceDE w:val="0"/>
        <w:autoSpaceDN w:val="0"/>
        <w:adjustRightInd w:val="0"/>
        <w:spacing w:after="0" w:line="126" w:lineRule="exact"/>
        <w:rPr>
          <w:rFonts w:ascii="Times New Roman" w:hAnsi="Times New Roman"/>
          <w:sz w:val="20"/>
          <w:szCs w:val="20"/>
        </w:rPr>
      </w:pPr>
    </w:p>
    <w:tbl>
      <w:tblPr>
        <w:tblW w:w="0" w:type="auto"/>
        <w:tblInd w:w="941" w:type="dxa"/>
        <w:tblLayout w:type="fixed"/>
        <w:tblCellMar>
          <w:left w:w="0" w:type="dxa"/>
          <w:right w:w="0" w:type="dxa"/>
        </w:tblCellMar>
        <w:tblLook w:val="0000" w:firstRow="0" w:lastRow="0" w:firstColumn="0" w:lastColumn="0" w:noHBand="0" w:noVBand="0"/>
      </w:tblPr>
      <w:tblGrid>
        <w:gridCol w:w="1694"/>
        <w:gridCol w:w="2400"/>
        <w:gridCol w:w="2554"/>
        <w:gridCol w:w="2989"/>
      </w:tblGrid>
      <w:tr w:rsidR="004A3C58" w:rsidRPr="00EE2917" w:rsidTr="00C92D58">
        <w:trPr>
          <w:trHeight w:hRule="exact" w:val="20"/>
        </w:trPr>
        <w:tc>
          <w:tcPr>
            <w:tcW w:w="1694" w:type="dxa"/>
            <w:vAlign w:val="bottom"/>
          </w:tcPr>
          <w:p w:rsidR="004A3C58" w:rsidRPr="00EE2917" w:rsidRDefault="004A3C58">
            <w:pPr>
              <w:keepNext/>
              <w:rPr>
                <w:sz w:val="20"/>
                <w:szCs w:val="20"/>
              </w:rPr>
            </w:pPr>
          </w:p>
        </w:tc>
        <w:tc>
          <w:tcPr>
            <w:tcW w:w="2400" w:type="dxa"/>
            <w:vAlign w:val="bottom"/>
          </w:tcPr>
          <w:p w:rsidR="004A3C58" w:rsidRPr="00EE2917" w:rsidRDefault="004A3C58">
            <w:pPr>
              <w:keepNext/>
              <w:rPr>
                <w:sz w:val="20"/>
                <w:szCs w:val="20"/>
              </w:rPr>
            </w:pPr>
          </w:p>
        </w:tc>
        <w:tc>
          <w:tcPr>
            <w:tcW w:w="2554" w:type="dxa"/>
            <w:vAlign w:val="bottom"/>
          </w:tcPr>
          <w:p w:rsidR="004A3C58" w:rsidRPr="00EE2917" w:rsidRDefault="004A3C58">
            <w:pPr>
              <w:keepNext/>
              <w:rPr>
                <w:sz w:val="20"/>
                <w:szCs w:val="20"/>
              </w:rPr>
            </w:pPr>
          </w:p>
        </w:tc>
        <w:tc>
          <w:tcPr>
            <w:tcW w:w="2989" w:type="dxa"/>
            <w:vAlign w:val="bottom"/>
          </w:tcPr>
          <w:p w:rsidR="004A3C58" w:rsidRPr="00EE2917" w:rsidRDefault="004A3C58">
            <w:pPr>
              <w:keepNext/>
              <w:rPr>
                <w:sz w:val="20"/>
                <w:szCs w:val="20"/>
              </w:rPr>
            </w:pPr>
          </w:p>
        </w:tc>
      </w:tr>
      <w:tr w:rsidR="004A3C58" w:rsidRPr="00EE2917" w:rsidTr="00C92D58">
        <w:trPr>
          <w:hidden/>
        </w:trPr>
        <w:tc>
          <w:tcPr>
            <w:tcW w:w="1694" w:type="dxa"/>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c>
          <w:tcPr>
            <w:tcW w:w="2400" w:type="dxa"/>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c>
          <w:tcPr>
            <w:tcW w:w="2554" w:type="dxa"/>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c>
          <w:tcPr>
            <w:tcW w:w="2989" w:type="dxa"/>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r>
      <w:tr w:rsidR="004A3C58" w:rsidRPr="00EE2917" w:rsidTr="00C92D58">
        <w:trPr>
          <w:hidden/>
        </w:trPr>
        <w:tc>
          <w:tcPr>
            <w:tcW w:w="1694" w:type="dxa"/>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c>
          <w:tcPr>
            <w:tcW w:w="2400" w:type="dxa"/>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c>
          <w:tcPr>
            <w:tcW w:w="5543" w:type="dxa"/>
            <w:gridSpan w:val="2"/>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sz w:val="20"/>
                <w:szCs w:val="20"/>
              </w:rPr>
              <w:t>Advanced Energy Industries, Inc.</w:t>
            </w:r>
          </w:p>
        </w:tc>
      </w:tr>
      <w:tr w:rsidR="004A3C58" w:rsidRPr="00EE2917" w:rsidTr="00C92D58">
        <w:trPr>
          <w:hidden/>
        </w:trPr>
        <w:tc>
          <w:tcPr>
            <w:tcW w:w="1694" w:type="dxa"/>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c>
          <w:tcPr>
            <w:tcW w:w="2400" w:type="dxa"/>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c>
          <w:tcPr>
            <w:tcW w:w="5543" w:type="dxa"/>
            <w:gridSpan w:val="2"/>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r>
      <w:tr w:rsidR="004A3C58" w:rsidRPr="00EE2917" w:rsidTr="00C92D58">
        <w:trPr>
          <w:hidden/>
        </w:trPr>
        <w:tc>
          <w:tcPr>
            <w:tcW w:w="1694" w:type="dxa"/>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c>
          <w:tcPr>
            <w:tcW w:w="2400" w:type="dxa"/>
            <w:vAlign w:val="bottom"/>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c>
          <w:tcPr>
            <w:tcW w:w="5543" w:type="dxa"/>
            <w:gridSpan w:val="2"/>
            <w:vAlign w:val="bottom"/>
          </w:tcPr>
          <w:p w:rsidR="004A3C58" w:rsidRPr="00EE2917" w:rsidRDefault="004A3C58" w:rsidP="00EE2917">
            <w:pPr>
              <w:autoSpaceDE w:val="0"/>
              <w:autoSpaceDN w:val="0"/>
              <w:adjustRightInd w:val="0"/>
              <w:spacing w:after="0" w:line="240" w:lineRule="auto"/>
              <w:ind w:left="58"/>
              <w:rPr>
                <w:rFonts w:ascii="Times New Roman" w:hAnsi="Times New Roman"/>
                <w:sz w:val="20"/>
                <w:szCs w:val="20"/>
              </w:rPr>
            </w:pPr>
            <w:r w:rsidRPr="00EE2917">
              <w:rPr>
                <w:rFonts w:ascii="Times New Roman" w:hAnsi="Times New Roman"/>
                <w:sz w:val="20"/>
                <w:szCs w:val="20"/>
                <w:u w:val="single"/>
              </w:rPr>
              <w:t>/s/ Elizabeth K. Vonne</w:t>
            </w:r>
          </w:p>
        </w:tc>
      </w:tr>
      <w:tr w:rsidR="004A3C58" w:rsidRPr="00EE2917" w:rsidTr="00C92D58">
        <w:tc>
          <w:tcPr>
            <w:tcW w:w="1694" w:type="dxa"/>
          </w:tcPr>
          <w:p w:rsidR="004A3C58" w:rsidRPr="00EE2917" w:rsidRDefault="004A3C58" w:rsidP="000E58BC">
            <w:pPr>
              <w:autoSpaceDE w:val="0"/>
              <w:autoSpaceDN w:val="0"/>
              <w:adjustRightInd w:val="0"/>
              <w:spacing w:before="35" w:after="0" w:line="240" w:lineRule="auto"/>
              <w:ind w:left="54"/>
              <w:rPr>
                <w:rFonts w:ascii="Times New Roman" w:hAnsi="Times New Roman"/>
                <w:sz w:val="20"/>
                <w:szCs w:val="20"/>
              </w:rPr>
            </w:pPr>
            <w:r w:rsidRPr="00EE2917">
              <w:rPr>
                <w:rFonts w:ascii="Times New Roman" w:hAnsi="Times New Roman"/>
                <w:sz w:val="20"/>
                <w:szCs w:val="20"/>
              </w:rPr>
              <w:t xml:space="preserve">Date: May </w:t>
            </w:r>
            <w:r w:rsidR="00472075">
              <w:rPr>
                <w:rFonts w:ascii="Times New Roman" w:hAnsi="Times New Roman"/>
                <w:sz w:val="20"/>
                <w:szCs w:val="20"/>
              </w:rPr>
              <w:t>2</w:t>
            </w:r>
            <w:r w:rsidR="00015526">
              <w:rPr>
                <w:rFonts w:ascii="Times New Roman" w:hAnsi="Times New Roman"/>
                <w:sz w:val="20"/>
                <w:szCs w:val="20"/>
              </w:rPr>
              <w:t>9</w:t>
            </w:r>
            <w:r w:rsidRPr="00EE2917">
              <w:rPr>
                <w:rFonts w:ascii="Times New Roman" w:hAnsi="Times New Roman"/>
                <w:sz w:val="20"/>
                <w:szCs w:val="20"/>
              </w:rPr>
              <w:t>, 202</w:t>
            </w:r>
            <w:r w:rsidR="00F51B5A">
              <w:rPr>
                <w:rFonts w:ascii="Times New Roman" w:hAnsi="Times New Roman"/>
                <w:sz w:val="20"/>
                <w:szCs w:val="20"/>
              </w:rPr>
              <w:t>6</w:t>
            </w:r>
          </w:p>
        </w:tc>
        <w:tc>
          <w:tcPr>
            <w:tcW w:w="2400" w:type="dxa"/>
          </w:tcPr>
          <w:p w:rsidR="004A3C58" w:rsidRPr="00EE2917" w:rsidRDefault="004A3C58" w:rsidP="000E58BC">
            <w:pPr>
              <w:autoSpaceDE w:val="0"/>
              <w:autoSpaceDN w:val="0"/>
              <w:adjustRightInd w:val="0"/>
              <w:spacing w:after="0" w:line="240" w:lineRule="auto"/>
              <w:ind w:left="54"/>
              <w:rPr>
                <w:rFonts w:ascii="Times New Roman" w:hAnsi="Times New Roman"/>
                <w:sz w:val="20"/>
                <w:szCs w:val="20"/>
              </w:rPr>
            </w:pPr>
            <w:r w:rsidRPr="00EE2917">
              <w:rPr>
                <w:rFonts w:ascii="Times New Roman" w:hAnsi="Times New Roman"/>
                <w:vanish/>
                <w:sz w:val="20"/>
                <w:szCs w:val="20"/>
              </w:rPr>
              <w:t>​</w:t>
            </w:r>
          </w:p>
        </w:tc>
        <w:tc>
          <w:tcPr>
            <w:tcW w:w="5543" w:type="dxa"/>
            <w:gridSpan w:val="2"/>
          </w:tcPr>
          <w:p w:rsidR="004A3C58" w:rsidRPr="00EE2917" w:rsidRDefault="004A3C58" w:rsidP="00EE2917">
            <w:pPr>
              <w:autoSpaceDE w:val="0"/>
              <w:autoSpaceDN w:val="0"/>
              <w:adjustRightInd w:val="0"/>
              <w:spacing w:after="0" w:line="240" w:lineRule="auto"/>
              <w:ind w:left="58"/>
              <w:rPr>
                <w:rFonts w:ascii="Times New Roman" w:hAnsi="Times New Roman"/>
                <w:sz w:val="20"/>
                <w:szCs w:val="20"/>
              </w:rPr>
            </w:pPr>
            <w:r w:rsidRPr="00EE2917">
              <w:rPr>
                <w:rFonts w:ascii="Times New Roman" w:hAnsi="Times New Roman"/>
                <w:sz w:val="20"/>
                <w:szCs w:val="20"/>
              </w:rPr>
              <w:t>Elizabeth K. Vonne</w:t>
            </w:r>
          </w:p>
          <w:p w:rsidR="004A3C58" w:rsidRPr="00EE2917" w:rsidRDefault="004A3C58" w:rsidP="00EE2917">
            <w:pPr>
              <w:autoSpaceDE w:val="0"/>
              <w:autoSpaceDN w:val="0"/>
              <w:adjustRightInd w:val="0"/>
              <w:spacing w:after="0" w:line="240" w:lineRule="auto"/>
              <w:ind w:left="58"/>
              <w:rPr>
                <w:rFonts w:ascii="Times New Roman" w:hAnsi="Times New Roman"/>
                <w:sz w:val="20"/>
                <w:szCs w:val="20"/>
              </w:rPr>
            </w:pPr>
            <w:r w:rsidRPr="00EE2917">
              <w:rPr>
                <w:rFonts w:ascii="Times New Roman" w:hAnsi="Times New Roman"/>
                <w:sz w:val="20"/>
                <w:szCs w:val="20"/>
              </w:rPr>
              <w:t>Executive Vice President, General Counsel &amp; Corporate Secretary</w:t>
            </w:r>
          </w:p>
        </w:tc>
      </w:tr>
    </w:tbl>
    <w:p w:rsidR="004A3C58" w:rsidRDefault="004A3C58"/>
    <w:p w:rsidR="008F3651" w:rsidRDefault="008F3651">
      <w:pPr>
        <w:autoSpaceDE w:val="0"/>
        <w:autoSpaceDN w:val="0"/>
        <w:adjustRightInd w:val="0"/>
        <w:spacing w:after="0" w:line="240" w:lineRule="auto"/>
        <w:ind w:left="941" w:right="941"/>
        <w:rPr>
          <w:rFonts w:ascii="Times New Roman" w:hAnsi="Times New Roman"/>
          <w:sz w:val="24"/>
          <w:szCs w:val="24"/>
        </w:rPr>
      </w:pPr>
      <w:r>
        <w:rPr>
          <w:rFonts w:ascii="Times New Roman" w:hAnsi="Times New Roman"/>
          <w:vanish/>
          <w:sz w:val="18"/>
          <w:szCs w:val="18"/>
        </w:rPr>
        <w:t>​</w:t>
      </w:r>
    </w:p>
    <w:p w:rsidR="008F3651" w:rsidRDefault="008F3651">
      <w:pPr>
        <w:autoSpaceDE w:val="0"/>
        <w:autoSpaceDN w:val="0"/>
        <w:adjustRightInd w:val="0"/>
        <w:spacing w:after="0" w:line="240" w:lineRule="auto"/>
        <w:ind w:left="941" w:right="941"/>
        <w:rPr>
          <w:rFonts w:ascii="Times New Roman" w:hAnsi="Times New Roman"/>
          <w:sz w:val="24"/>
          <w:szCs w:val="24"/>
        </w:rPr>
      </w:pPr>
      <w:r>
        <w:rPr>
          <w:rFonts w:ascii="Times New Roman" w:hAnsi="Times New Roman"/>
          <w:vanish/>
          <w:sz w:val="18"/>
          <w:szCs w:val="18"/>
        </w:rPr>
        <w:t>​</w:t>
      </w:r>
    </w:p>
    <w:p w:rsidR="008F3651" w:rsidRDefault="008F3651" w:rsidP="00D42861">
      <w:pPr>
        <w:keepNext/>
        <w:shd w:val="clear" w:color="auto" w:fill="000000"/>
        <w:autoSpaceDE w:val="0"/>
        <w:autoSpaceDN w:val="0"/>
        <w:adjustRightInd w:val="0"/>
        <w:spacing w:before="540" w:after="0" w:line="36" w:lineRule="exact"/>
        <w:ind w:left="504" w:right="504"/>
        <w:jc w:val="center"/>
        <w:rPr>
          <w:rFonts w:ascii="Times New Roman" w:hAnsi="Times New Roman"/>
          <w:sz w:val="24"/>
          <w:szCs w:val="24"/>
        </w:rPr>
      </w:pPr>
    </w:p>
    <w:sectPr w:rsidR="008F3651" w:rsidSect="00EE2917">
      <w:pgSz w:w="12240" w:h="15840"/>
      <w:pgMar w:top="720" w:right="720" w:bottom="720" w:left="72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DA6" w:rsidRDefault="00D93DA6" w:rsidP="00E234C2">
      <w:pPr>
        <w:spacing w:after="0" w:line="240" w:lineRule="auto"/>
      </w:pPr>
      <w:r>
        <w:separator/>
      </w:r>
    </w:p>
  </w:endnote>
  <w:endnote w:type="continuationSeparator" w:id="0">
    <w:p w:rsidR="00D93DA6" w:rsidRDefault="00D93DA6" w:rsidP="00E2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DA6" w:rsidRDefault="00D93DA6" w:rsidP="00E234C2">
      <w:pPr>
        <w:spacing w:after="0" w:line="240" w:lineRule="auto"/>
      </w:pPr>
      <w:r>
        <w:separator/>
      </w:r>
    </w:p>
  </w:footnote>
  <w:footnote w:type="continuationSeparator" w:id="0">
    <w:p w:rsidR="00D93DA6" w:rsidRDefault="00D93DA6" w:rsidP="00E23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suppressTop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5A"/>
    <w:rsid w:val="00015526"/>
    <w:rsid w:val="00033F9B"/>
    <w:rsid w:val="000446F4"/>
    <w:rsid w:val="0005404E"/>
    <w:rsid w:val="0006503E"/>
    <w:rsid w:val="000745F0"/>
    <w:rsid w:val="000A3458"/>
    <w:rsid w:val="000A4B5A"/>
    <w:rsid w:val="000E166D"/>
    <w:rsid w:val="000E747B"/>
    <w:rsid w:val="00116954"/>
    <w:rsid w:val="00136AB9"/>
    <w:rsid w:val="0014121B"/>
    <w:rsid w:val="001548D9"/>
    <w:rsid w:val="00155638"/>
    <w:rsid w:val="0019705B"/>
    <w:rsid w:val="001B5351"/>
    <w:rsid w:val="001E4558"/>
    <w:rsid w:val="00254C41"/>
    <w:rsid w:val="00255449"/>
    <w:rsid w:val="00261DB6"/>
    <w:rsid w:val="00284B14"/>
    <w:rsid w:val="00320620"/>
    <w:rsid w:val="00364959"/>
    <w:rsid w:val="003B2937"/>
    <w:rsid w:val="003C0A92"/>
    <w:rsid w:val="00416595"/>
    <w:rsid w:val="004177BA"/>
    <w:rsid w:val="00442C06"/>
    <w:rsid w:val="00444120"/>
    <w:rsid w:val="00462D55"/>
    <w:rsid w:val="00472075"/>
    <w:rsid w:val="0048012F"/>
    <w:rsid w:val="004A3C58"/>
    <w:rsid w:val="00506587"/>
    <w:rsid w:val="005522E1"/>
    <w:rsid w:val="0059380E"/>
    <w:rsid w:val="005B4480"/>
    <w:rsid w:val="0061132C"/>
    <w:rsid w:val="00661CF4"/>
    <w:rsid w:val="006770DF"/>
    <w:rsid w:val="00686F8B"/>
    <w:rsid w:val="006A1803"/>
    <w:rsid w:val="006A2C55"/>
    <w:rsid w:val="00733D31"/>
    <w:rsid w:val="00766476"/>
    <w:rsid w:val="00792C9F"/>
    <w:rsid w:val="007E23C0"/>
    <w:rsid w:val="007E7345"/>
    <w:rsid w:val="007F4BD6"/>
    <w:rsid w:val="00844698"/>
    <w:rsid w:val="008613D7"/>
    <w:rsid w:val="008775DE"/>
    <w:rsid w:val="00877F8D"/>
    <w:rsid w:val="008F3651"/>
    <w:rsid w:val="00930151"/>
    <w:rsid w:val="009377B7"/>
    <w:rsid w:val="00971444"/>
    <w:rsid w:val="009D628A"/>
    <w:rsid w:val="009F5BEC"/>
    <w:rsid w:val="00A1741D"/>
    <w:rsid w:val="00A515C4"/>
    <w:rsid w:val="00A60803"/>
    <w:rsid w:val="00A97B37"/>
    <w:rsid w:val="00AC0EA8"/>
    <w:rsid w:val="00AD2B88"/>
    <w:rsid w:val="00AD2E3C"/>
    <w:rsid w:val="00B11191"/>
    <w:rsid w:val="00B43977"/>
    <w:rsid w:val="00B61DCB"/>
    <w:rsid w:val="00B61ECD"/>
    <w:rsid w:val="00B74A4B"/>
    <w:rsid w:val="00B81566"/>
    <w:rsid w:val="00B81FD2"/>
    <w:rsid w:val="00BA159C"/>
    <w:rsid w:val="00BA5A51"/>
    <w:rsid w:val="00BA6D7E"/>
    <w:rsid w:val="00BB3D0F"/>
    <w:rsid w:val="00BE5131"/>
    <w:rsid w:val="00BF433B"/>
    <w:rsid w:val="00C15584"/>
    <w:rsid w:val="00C310FA"/>
    <w:rsid w:val="00C7344D"/>
    <w:rsid w:val="00C9024B"/>
    <w:rsid w:val="00C92D58"/>
    <w:rsid w:val="00CB19BD"/>
    <w:rsid w:val="00CF4DF4"/>
    <w:rsid w:val="00D30FAE"/>
    <w:rsid w:val="00D42861"/>
    <w:rsid w:val="00D42B68"/>
    <w:rsid w:val="00D5578D"/>
    <w:rsid w:val="00D93DA6"/>
    <w:rsid w:val="00DA3CCE"/>
    <w:rsid w:val="00DB21BC"/>
    <w:rsid w:val="00DB2B48"/>
    <w:rsid w:val="00E00B4B"/>
    <w:rsid w:val="00E234C2"/>
    <w:rsid w:val="00E25CF2"/>
    <w:rsid w:val="00E30808"/>
    <w:rsid w:val="00E55116"/>
    <w:rsid w:val="00E754E4"/>
    <w:rsid w:val="00E963B0"/>
    <w:rsid w:val="00EA4654"/>
    <w:rsid w:val="00EB513E"/>
    <w:rsid w:val="00EE2917"/>
    <w:rsid w:val="00EF36FE"/>
    <w:rsid w:val="00F145F1"/>
    <w:rsid w:val="00F21711"/>
    <w:rsid w:val="00F51B5A"/>
    <w:rsid w:val="00F53E90"/>
    <w:rsid w:val="00FB126C"/>
    <w:rsid w:val="00FD1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D87405"/>
  <w14:defaultImageDpi w14:val="96"/>
  <w15:docId w15:val="{DB271339-3EDE-43F5-8271-DC745A13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2E1"/>
    <w:rPr>
      <w:rFonts w:cs="Times New Roman"/>
      <w:color w:val="0000FF"/>
      <w:u w:val="single"/>
    </w:rPr>
  </w:style>
  <w:style w:type="paragraph" w:styleId="Revision">
    <w:name w:val="Revision"/>
    <w:hidden/>
    <w:uiPriority w:val="99"/>
    <w:semiHidden/>
    <w:rsid w:val="00DB2B48"/>
    <w:pPr>
      <w:spacing w:after="0" w:line="240" w:lineRule="auto"/>
    </w:pPr>
  </w:style>
  <w:style w:type="paragraph" w:styleId="BalloonText">
    <w:name w:val="Balloon Text"/>
    <w:basedOn w:val="Normal"/>
    <w:link w:val="BalloonTextChar"/>
    <w:uiPriority w:val="99"/>
    <w:semiHidden/>
    <w:unhideWhenUsed/>
    <w:rsid w:val="009F5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EC"/>
    <w:rPr>
      <w:rFonts w:ascii="Segoe UI" w:hAnsi="Segoe UI" w:cs="Segoe UI"/>
      <w:sz w:val="18"/>
      <w:szCs w:val="18"/>
    </w:rPr>
  </w:style>
  <w:style w:type="paragraph" w:customStyle="1" w:styleId="DocID">
    <w:name w:val="DocID"/>
    <w:basedOn w:val="Footer"/>
    <w:next w:val="Footer"/>
    <w:link w:val="DocIDChar"/>
    <w:rsid w:val="00E234C2"/>
    <w:pPr>
      <w:tabs>
        <w:tab w:val="clear" w:pos="4680"/>
        <w:tab w:val="clear" w:pos="9360"/>
      </w:tabs>
      <w:autoSpaceDE w:val="0"/>
      <w:autoSpaceDN w:val="0"/>
      <w:adjustRightInd w:val="0"/>
      <w:ind w:left="-720"/>
    </w:pPr>
    <w:rPr>
      <w:rFonts w:ascii="Arial" w:eastAsia="Times New Roman" w:hAnsi="Arial" w:cs="Arial"/>
      <w:sz w:val="16"/>
      <w:szCs w:val="20"/>
    </w:rPr>
  </w:style>
  <w:style w:type="character" w:customStyle="1" w:styleId="DocIDChar">
    <w:name w:val="DocID Char"/>
    <w:basedOn w:val="DefaultParagraphFont"/>
    <w:link w:val="DocID"/>
    <w:rsid w:val="00E234C2"/>
    <w:rPr>
      <w:rFonts w:ascii="Arial" w:eastAsia="Times New Roman" w:hAnsi="Arial" w:cs="Arial"/>
      <w:sz w:val="16"/>
      <w:szCs w:val="20"/>
      <w:lang w:val="en-US" w:eastAsia="en-US"/>
    </w:rPr>
  </w:style>
  <w:style w:type="paragraph" w:styleId="Footer">
    <w:name w:val="footer"/>
    <w:basedOn w:val="Normal"/>
    <w:link w:val="FooterChar"/>
    <w:uiPriority w:val="99"/>
    <w:unhideWhenUsed/>
    <w:rsid w:val="00E23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4C2"/>
  </w:style>
  <w:style w:type="paragraph" w:styleId="Header">
    <w:name w:val="header"/>
    <w:basedOn w:val="Normal"/>
    <w:link w:val="HeaderChar"/>
    <w:uiPriority w:val="99"/>
    <w:unhideWhenUsed/>
    <w:rsid w:val="00E23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4C2"/>
  </w:style>
  <w:style w:type="character" w:styleId="FollowedHyperlink">
    <w:name w:val="FollowedHyperlink"/>
    <w:basedOn w:val="DefaultParagraphFont"/>
    <w:uiPriority w:val="99"/>
    <w:semiHidden/>
    <w:unhideWhenUsed/>
    <w:rsid w:val="009D628A"/>
    <w:rPr>
      <w:color w:val="954F72" w:themeColor="followedHyperlink"/>
      <w:u w:val="single"/>
    </w:rPr>
  </w:style>
  <w:style w:type="character" w:styleId="UnresolvedMention">
    <w:name w:val="Unresolved Mention"/>
    <w:basedOn w:val="DefaultParagraphFont"/>
    <w:uiPriority w:val="99"/>
    <w:semiHidden/>
    <w:unhideWhenUsed/>
    <w:rsid w:val="003B2937"/>
    <w:rPr>
      <w:color w:val="605E5C"/>
      <w:shd w:val="clear" w:color="auto" w:fill="E1DFDD"/>
    </w:rPr>
  </w:style>
  <w:style w:type="paragraph" w:styleId="CommentText">
    <w:name w:val="annotation text"/>
    <w:basedOn w:val="Normal"/>
    <w:link w:val="CommentTextChar"/>
    <w:uiPriority w:val="99"/>
    <w:semiHidden/>
    <w:unhideWhenUsed/>
    <w:rsid w:val="00EE2917"/>
    <w:pPr>
      <w:spacing w:line="240" w:lineRule="auto"/>
    </w:pPr>
    <w:rPr>
      <w:sz w:val="20"/>
      <w:szCs w:val="20"/>
    </w:rPr>
  </w:style>
  <w:style w:type="character" w:customStyle="1" w:styleId="CommentTextChar">
    <w:name w:val="Comment Text Char"/>
    <w:basedOn w:val="DefaultParagraphFont"/>
    <w:link w:val="CommentText"/>
    <w:uiPriority w:val="99"/>
    <w:semiHidden/>
    <w:rsid w:val="00EE2917"/>
    <w:rPr>
      <w:sz w:val="20"/>
      <w:szCs w:val="20"/>
    </w:rPr>
  </w:style>
  <w:style w:type="character" w:styleId="CommentReference">
    <w:name w:val="annotation reference"/>
    <w:basedOn w:val="DefaultParagraphFont"/>
    <w:uiPriority w:val="99"/>
    <w:semiHidden/>
    <w:unhideWhenUsed/>
    <w:rsid w:val="00EE29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09423">
      <w:bodyDiv w:val="1"/>
      <w:marLeft w:val="0"/>
      <w:marRight w:val="0"/>
      <w:marTop w:val="0"/>
      <w:marBottom w:val="0"/>
      <w:divBdr>
        <w:top w:val="none" w:sz="0" w:space="0" w:color="auto"/>
        <w:left w:val="none" w:sz="0" w:space="0" w:color="auto"/>
        <w:bottom w:val="none" w:sz="0" w:space="0" w:color="auto"/>
        <w:right w:val="none" w:sz="0" w:space="0" w:color="auto"/>
      </w:divBdr>
    </w:div>
    <w:div w:id="15952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ADVANCED ENERGY INDUSTRIES INC (Form: SD, Received: 05/28/2021 14:05:47)</vt:lpstr>
    </vt:vector>
  </TitlesOfParts>
  <Company>EDGAR Online, a division of Donnelley Financial Solutions</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ENERGY INDUSTRIES INC (Form: SD, Received: 05/28/2021 14:05:47)</dc:title>
  <dc:subject>EDGAR Online Pro</dc:subject>
  <dc:creator>EDGAR Online HTML to RTF Converter. Version 3.0</dc:creator>
  <cp:keywords/>
  <dc:description>Source: EDGAR Online, a division of Donnelley Financial Solutions © Copyright 2021. All rights reserved.</dc:description>
  <cp:lastModifiedBy>Molina, Samuel [Finance/US/DEN]</cp:lastModifiedBy>
  <cp:revision>1</cp:revision>
  <cp:lastPrinted>2025-05-28T17:34:00Z</cp:lastPrinted>
  <dcterms:created xsi:type="dcterms:W3CDTF">2026-06-02T21:42:00Z</dcterms:created>
  <dcterms:modified xsi:type="dcterms:W3CDTF">2026-06-02T21:42:00Z</dcterms:modified>
  <cp:category>001558370-21-007845.html.ecq</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4862-9042-5122.2</vt:lpwstr>
  </property>
  <property fmtid="{D5CDD505-2E9C-101B-9397-08002B2CF9AE}" pid="3" name="CUS_DocIDChunk0">
    <vt:lpwstr>4862-9042-5122.2</vt:lpwstr>
  </property>
  <property fmtid="{D5CDD505-2E9C-101B-9397-08002B2CF9AE}" pid="4" name="CUS_DocIDActiveBits">
    <vt:lpwstr>522240</vt:lpwstr>
  </property>
  <property fmtid="{D5CDD505-2E9C-101B-9397-08002B2CF9AE}" pid="5" name="CUS_DocIDLocation">
    <vt:lpwstr>FIRST_PAGE_ONLY</vt:lpwstr>
  </property>
  <property fmtid="{D5CDD505-2E9C-101B-9397-08002B2CF9AE}" pid="6" name="CUS_DocIDReference">
    <vt:lpwstr>firstPageOnly</vt:lpwstr>
  </property>
  <property fmtid="{D5CDD505-2E9C-101B-9397-08002B2CF9AE}" pid="7" name="GrammarlyDocumentId">
    <vt:lpwstr>7fb8a0447d982c7a2d2a45200a8ad3e9ff78f36e41d51bbece99d4c85f787b8d</vt:lpwstr>
  </property>
</Properties>
</file>